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35" w:tblpY="-659"/>
        <w:tblW w:w="11624" w:type="dxa"/>
        <w:tblLook w:val="04A0" w:firstRow="1" w:lastRow="0" w:firstColumn="1" w:lastColumn="0" w:noHBand="0" w:noVBand="1"/>
      </w:tblPr>
      <w:tblGrid>
        <w:gridCol w:w="567"/>
        <w:gridCol w:w="5284"/>
        <w:gridCol w:w="786"/>
        <w:gridCol w:w="4845"/>
        <w:gridCol w:w="142"/>
      </w:tblGrid>
      <w:tr w:rsidR="000C3943" w:rsidRPr="000C3943" w14:paraId="3C9B097E" w14:textId="77777777" w:rsidTr="000C3943">
        <w:trPr>
          <w:trHeight w:val="8810"/>
        </w:trPr>
        <w:tc>
          <w:tcPr>
            <w:tcW w:w="5851" w:type="dxa"/>
            <w:gridSpan w:val="2"/>
          </w:tcPr>
          <w:p w14:paraId="1211C691" w14:textId="77777777" w:rsidR="000C3943" w:rsidRPr="000C3943" w:rsidRDefault="000C3943" w:rsidP="000C3943">
            <w:pPr>
              <w:spacing w:line="276" w:lineRule="auto"/>
              <w:rPr>
                <w:rFonts w:ascii="Calibri" w:eastAsia="Calibri" w:hAnsi="Calibri" w:cs="Times New Roman"/>
                <w:noProof/>
                <w:sz w:val="22"/>
                <w:lang w:val="sr-Cyrl-RS"/>
              </w:rPr>
            </w:pPr>
            <w:r w:rsidRPr="000C3943">
              <w:rPr>
                <w:rFonts w:ascii="Calibri" w:eastAsia="Calibri" w:hAnsi="Calibri" w:cs="Times New Roman"/>
                <w:noProof/>
                <w:sz w:val="22"/>
                <w:lang w:eastAsia="sr-Latn-RS"/>
              </w:rPr>
              <w:drawing>
                <wp:inline distT="0" distB="0" distL="0" distR="0" wp14:anchorId="1E3BF420" wp14:editId="7D112CFD">
                  <wp:extent cx="3556635" cy="5480289"/>
                  <wp:effectExtent l="0" t="0" r="5715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trelice2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1979"/>
                          <a:stretch/>
                        </pic:blipFill>
                        <pic:spPr bwMode="auto">
                          <a:xfrm>
                            <a:off x="0" y="0"/>
                            <a:ext cx="3564476" cy="54923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3" w:type="dxa"/>
            <w:gridSpan w:val="3"/>
          </w:tcPr>
          <w:p w14:paraId="4EFB7121" w14:textId="77777777" w:rsidR="000C3943" w:rsidRPr="000C3943" w:rsidRDefault="000C3943" w:rsidP="000C3943">
            <w:pPr>
              <w:spacing w:line="276" w:lineRule="auto"/>
              <w:jc w:val="center"/>
              <w:rPr>
                <w:rFonts w:ascii="Calibri" w:eastAsia="Calibri" w:hAnsi="Calibri" w:cs="Times New Roman"/>
                <w:noProof/>
                <w:sz w:val="22"/>
                <w:lang w:val="sr-Cyrl-RS"/>
              </w:rPr>
            </w:pPr>
          </w:p>
          <w:p w14:paraId="1F2FF1A2" w14:textId="77777777" w:rsidR="000C3943" w:rsidRPr="000C3943" w:rsidRDefault="000C3943" w:rsidP="000C3943">
            <w:pPr>
              <w:spacing w:line="276" w:lineRule="auto"/>
              <w:jc w:val="center"/>
              <w:rPr>
                <w:rFonts w:ascii="Calibri" w:eastAsia="Calibri" w:hAnsi="Calibri" w:cs="Times New Roman"/>
                <w:noProof/>
                <w:sz w:val="22"/>
                <w:lang w:val="sr-Cyrl-RS"/>
              </w:rPr>
            </w:pPr>
          </w:p>
          <w:p w14:paraId="0D5583E2" w14:textId="77777777" w:rsidR="000C3943" w:rsidRPr="000C3943" w:rsidRDefault="000C3943" w:rsidP="000C3943">
            <w:pPr>
              <w:spacing w:line="276" w:lineRule="auto"/>
              <w:jc w:val="right"/>
              <w:rPr>
                <w:rFonts w:ascii="Calibri" w:eastAsia="Calibri" w:hAnsi="Calibri" w:cs="Times New Roman"/>
                <w:noProof/>
                <w:sz w:val="22"/>
                <w:lang w:val="sr-Cyrl-RS"/>
              </w:rPr>
            </w:pPr>
            <w:r w:rsidRPr="000C3943">
              <w:rPr>
                <w:rFonts w:ascii="Calibri" w:eastAsia="Calibri" w:hAnsi="Calibri" w:cs="Times New Roman"/>
                <w:noProof/>
                <w:sz w:val="22"/>
                <w:lang w:eastAsia="sr-Latn-RS"/>
              </w:rPr>
              <w:drawing>
                <wp:inline distT="0" distB="0" distL="0" distR="0" wp14:anchorId="16F7DD0D" wp14:editId="3DE7E801">
                  <wp:extent cx="2258060" cy="1137394"/>
                  <wp:effectExtent l="0" t="0" r="8890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-final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544" t="27812" r="12886" b="9147"/>
                          <a:stretch/>
                        </pic:blipFill>
                        <pic:spPr bwMode="auto">
                          <a:xfrm>
                            <a:off x="0" y="0"/>
                            <a:ext cx="2279970" cy="1148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4B13923" w14:textId="77777777" w:rsidR="000C3943" w:rsidRPr="000C3943" w:rsidRDefault="000C3943" w:rsidP="000C3943">
            <w:pPr>
              <w:spacing w:line="276" w:lineRule="auto"/>
              <w:rPr>
                <w:rFonts w:ascii="Calibri" w:eastAsia="Calibri" w:hAnsi="Calibri" w:cs="Times New Roman"/>
                <w:noProof/>
                <w:sz w:val="22"/>
                <w:lang w:val="sr-Cyrl-RS"/>
              </w:rPr>
            </w:pPr>
          </w:p>
          <w:p w14:paraId="3DE9CADB" w14:textId="77777777" w:rsidR="000C3943" w:rsidRPr="000C3943" w:rsidRDefault="000C3943" w:rsidP="000C3943">
            <w:pPr>
              <w:spacing w:line="276" w:lineRule="auto"/>
              <w:rPr>
                <w:rFonts w:ascii="Calibri" w:eastAsia="Calibri" w:hAnsi="Calibri" w:cs="Times New Roman"/>
                <w:noProof/>
                <w:sz w:val="22"/>
                <w:lang w:val="sr-Cyrl-RS"/>
              </w:rPr>
            </w:pPr>
          </w:p>
          <w:p w14:paraId="4D1816EA" w14:textId="77777777" w:rsidR="000C3943" w:rsidRPr="000C3943" w:rsidRDefault="000C3943" w:rsidP="000C3943">
            <w:pPr>
              <w:spacing w:line="276" w:lineRule="auto"/>
              <w:rPr>
                <w:rFonts w:ascii="Calibri" w:eastAsia="Calibri" w:hAnsi="Calibri" w:cs="Times New Roman"/>
                <w:noProof/>
                <w:sz w:val="22"/>
                <w:lang w:val="sr-Cyrl-RS"/>
              </w:rPr>
            </w:pPr>
          </w:p>
          <w:p w14:paraId="3033E34E" w14:textId="77777777" w:rsidR="000C3943" w:rsidRPr="000C3943" w:rsidRDefault="000C3943" w:rsidP="000C3943">
            <w:pPr>
              <w:spacing w:line="276" w:lineRule="auto"/>
              <w:rPr>
                <w:rFonts w:ascii="Calibri" w:eastAsia="Calibri" w:hAnsi="Calibri" w:cs="Times New Roman"/>
                <w:noProof/>
                <w:sz w:val="22"/>
                <w:lang w:val="sr-Cyrl-RS"/>
              </w:rPr>
            </w:pPr>
          </w:p>
          <w:p w14:paraId="51A3E813" w14:textId="77777777" w:rsidR="000C3943" w:rsidRPr="000C3943" w:rsidRDefault="000C3943" w:rsidP="000C3943">
            <w:pPr>
              <w:spacing w:line="276" w:lineRule="auto"/>
              <w:rPr>
                <w:rFonts w:ascii="Calibri" w:eastAsia="Calibri" w:hAnsi="Calibri" w:cs="Times New Roman"/>
                <w:noProof/>
                <w:sz w:val="22"/>
                <w:lang w:val="sr-Cyrl-RS"/>
              </w:rPr>
            </w:pPr>
          </w:p>
          <w:p w14:paraId="180AF859" w14:textId="77777777" w:rsidR="000C3943" w:rsidRPr="000C3943" w:rsidRDefault="000C3943" w:rsidP="000C3943">
            <w:pPr>
              <w:spacing w:line="276" w:lineRule="auto"/>
              <w:rPr>
                <w:rFonts w:ascii="Calibri" w:eastAsia="Calibri" w:hAnsi="Calibri" w:cs="Times New Roman"/>
                <w:noProof/>
                <w:sz w:val="22"/>
                <w:lang w:val="sr-Cyrl-RS"/>
              </w:rPr>
            </w:pPr>
          </w:p>
          <w:p w14:paraId="77E620D5" w14:textId="77777777" w:rsidR="000C3943" w:rsidRPr="000C3943" w:rsidRDefault="000C3943" w:rsidP="000C3943">
            <w:pPr>
              <w:spacing w:line="276" w:lineRule="auto"/>
              <w:rPr>
                <w:rFonts w:ascii="Calibri" w:eastAsia="Calibri" w:hAnsi="Calibri" w:cs="Times New Roman"/>
                <w:noProof/>
                <w:sz w:val="22"/>
                <w:lang w:val="sr-Cyrl-RS"/>
              </w:rPr>
            </w:pPr>
          </w:p>
          <w:p w14:paraId="5286758D" w14:textId="77777777" w:rsidR="000C3943" w:rsidRPr="000C3943" w:rsidRDefault="000C3943" w:rsidP="000C3943">
            <w:pPr>
              <w:spacing w:line="276" w:lineRule="auto"/>
              <w:rPr>
                <w:rFonts w:ascii="Calibri" w:eastAsia="Calibri" w:hAnsi="Calibri" w:cs="Times New Roman"/>
                <w:noProof/>
                <w:sz w:val="22"/>
                <w:lang w:val="sr-Cyrl-RS"/>
              </w:rPr>
            </w:pPr>
          </w:p>
          <w:p w14:paraId="0B588AE7" w14:textId="77777777" w:rsidR="000C3943" w:rsidRPr="000C3943" w:rsidRDefault="000C3943" w:rsidP="000C3943">
            <w:pPr>
              <w:spacing w:line="276" w:lineRule="auto"/>
              <w:rPr>
                <w:rFonts w:ascii="Calibri" w:eastAsia="Calibri" w:hAnsi="Calibri" w:cs="Times New Roman"/>
                <w:noProof/>
                <w:sz w:val="22"/>
                <w:lang w:val="sr-Cyrl-R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557"/>
            </w:tblGrid>
            <w:tr w:rsidR="000C3943" w:rsidRPr="000C3943" w14:paraId="3C4BABCA" w14:textId="77777777" w:rsidTr="000C3943">
              <w:tc>
                <w:tcPr>
                  <w:tcW w:w="5636" w:type="dxa"/>
                  <w:tcBorders>
                    <w:bottom w:val="single" w:sz="48" w:space="0" w:color="C00000"/>
                  </w:tcBorders>
                </w:tcPr>
                <w:p w14:paraId="5ED569E0" w14:textId="77777777" w:rsidR="000C3943" w:rsidRPr="000C3943" w:rsidRDefault="000C3943" w:rsidP="009165C1">
                  <w:pPr>
                    <w:framePr w:hSpace="180" w:wrap="around" w:vAnchor="text" w:hAnchor="page" w:x="35" w:y="-659"/>
                    <w:spacing w:line="276" w:lineRule="auto"/>
                    <w:rPr>
                      <w:rFonts w:ascii="Calibri" w:eastAsia="Calibri" w:hAnsi="Calibri" w:cs="Times New Roman"/>
                      <w:noProof/>
                      <w:sz w:val="22"/>
                      <w:lang w:val="sr-Cyrl-RS"/>
                    </w:rPr>
                  </w:pPr>
                </w:p>
              </w:tc>
            </w:tr>
          </w:tbl>
          <w:p w14:paraId="3E0A3010" w14:textId="2E7943E5" w:rsidR="000C3943" w:rsidRPr="003F3192" w:rsidRDefault="000C3943" w:rsidP="003F3192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40"/>
                <w:szCs w:val="40"/>
                <w:lang w:val="ru-RU"/>
              </w:rPr>
            </w:pPr>
            <w:r w:rsidRPr="003F3192">
              <w:rPr>
                <w:rFonts w:ascii="Calibri" w:eastAsia="Calibri" w:hAnsi="Calibri" w:cs="Times New Roman"/>
                <w:b/>
                <w:sz w:val="40"/>
                <w:szCs w:val="40"/>
                <w:lang w:val="sr-Cyrl-RS"/>
              </w:rPr>
              <w:t>МЕТОДОЛОГИЈА</w:t>
            </w:r>
            <w:r w:rsidRPr="003F3192">
              <w:rPr>
                <w:rFonts w:ascii="Calibri" w:eastAsia="Calibri" w:hAnsi="Calibri" w:cs="Times New Roman"/>
                <w:b/>
                <w:sz w:val="40"/>
                <w:szCs w:val="40"/>
                <w:lang w:val="ru-RU"/>
              </w:rPr>
              <w:t xml:space="preserve"> ЗА </w:t>
            </w:r>
          </w:p>
          <w:p w14:paraId="27E29AD3" w14:textId="7204E3FC" w:rsidR="000C3943" w:rsidRPr="003F3192" w:rsidRDefault="009B1AAF" w:rsidP="003F3192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40"/>
                <w:szCs w:val="40"/>
                <w:lang w:val="sr-Cyrl-RS"/>
              </w:rPr>
            </w:pPr>
            <w:r w:rsidRPr="003F3192">
              <w:rPr>
                <w:rFonts w:ascii="Calibri" w:eastAsia="Calibri" w:hAnsi="Calibri" w:cs="Times New Roman"/>
                <w:b/>
                <w:sz w:val="40"/>
                <w:szCs w:val="40"/>
                <w:lang w:val="sr-Cyrl-RS"/>
              </w:rPr>
              <w:t xml:space="preserve">РАЗВОЈ </w:t>
            </w:r>
            <w:r w:rsidRPr="003F3192">
              <w:rPr>
                <w:rFonts w:ascii="Calibri" w:eastAsia="Calibri" w:hAnsi="Calibri" w:cs="Times New Roman"/>
                <w:b/>
                <w:i/>
                <w:sz w:val="40"/>
                <w:szCs w:val="40"/>
              </w:rPr>
              <w:t xml:space="preserve">SCORECARD </w:t>
            </w:r>
            <w:r w:rsidRPr="003F3192">
              <w:rPr>
                <w:rFonts w:ascii="Calibri" w:eastAsia="Calibri" w:hAnsi="Calibri" w:cs="Times New Roman"/>
                <w:b/>
                <w:sz w:val="40"/>
                <w:szCs w:val="40"/>
                <w:lang w:val="sr-Cyrl-RS"/>
              </w:rPr>
              <w:t>МЕТОДЕ ЗА МЕРЕЊЕ НИВОА КОРПОРАТИВНОГ УПРАВЉАЊА У ЛОКАЛНИМ ЈАВНИМ ПРЕДУЗЕЋИМА ЗА ПОТРЕБЕ ЛОКАЛНИХ САМОУПРАВА</w:t>
            </w:r>
          </w:p>
          <w:p w14:paraId="3B5A4F4B" w14:textId="77777777" w:rsidR="000C3943" w:rsidRPr="000C3943" w:rsidRDefault="000C3943" w:rsidP="003F3192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28"/>
                <w:lang w:val="sr-Cyrl-RS"/>
              </w:rPr>
            </w:pPr>
            <w:r w:rsidRPr="000C3943">
              <w:rPr>
                <w:rFonts w:ascii="Calibri" w:eastAsia="Calibri" w:hAnsi="Calibri" w:cs="Times New Roman"/>
                <w:b/>
                <w:sz w:val="28"/>
                <w:lang w:val="sr-Cyrl-RS"/>
              </w:rPr>
              <w:t>Београд</w:t>
            </w:r>
          </w:p>
          <w:p w14:paraId="12A0C465" w14:textId="4A84DE69" w:rsidR="000C3943" w:rsidRPr="000C3943" w:rsidRDefault="000C3943" w:rsidP="003F3192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color w:val="000000"/>
                <w:sz w:val="28"/>
                <w:lang w:val="sr-Cyrl-RS"/>
              </w:rPr>
            </w:pPr>
            <w:r w:rsidRPr="000C3943">
              <w:rPr>
                <w:rFonts w:ascii="Calibri" w:eastAsia="Calibri" w:hAnsi="Calibri" w:cs="Times New Roman"/>
                <w:b/>
                <w:color w:val="000000"/>
                <w:sz w:val="28"/>
                <w:lang w:val="sr-Cyrl-RS"/>
              </w:rPr>
              <w:t>30. ју</w:t>
            </w:r>
            <w:r w:rsidR="00A2187B">
              <w:rPr>
                <w:rFonts w:ascii="Calibri" w:eastAsia="Calibri" w:hAnsi="Calibri" w:cs="Times New Roman"/>
                <w:b/>
                <w:color w:val="000000"/>
                <w:sz w:val="28"/>
                <w:lang w:val="sr-Cyrl-RS"/>
              </w:rPr>
              <w:t>л</w:t>
            </w:r>
            <w:r w:rsidRPr="000C3943">
              <w:rPr>
                <w:rFonts w:ascii="Calibri" w:eastAsia="Calibri" w:hAnsi="Calibri" w:cs="Times New Roman"/>
                <w:b/>
                <w:color w:val="000000"/>
                <w:sz w:val="28"/>
                <w:lang w:val="sr-Cyrl-RS"/>
              </w:rPr>
              <w:t xml:space="preserve"> 2019.</w:t>
            </w:r>
          </w:p>
        </w:tc>
      </w:tr>
      <w:tr w:rsidR="000C3943" w:rsidRPr="000C3943" w14:paraId="6EAC8E9E" w14:textId="77777777" w:rsidTr="000C3943">
        <w:trPr>
          <w:trHeight w:val="924"/>
        </w:trPr>
        <w:tc>
          <w:tcPr>
            <w:tcW w:w="11624" w:type="dxa"/>
            <w:gridSpan w:val="5"/>
          </w:tcPr>
          <w:p w14:paraId="22C80675" w14:textId="77777777" w:rsidR="000C3943" w:rsidRPr="000C3943" w:rsidRDefault="000C3943" w:rsidP="000C3943">
            <w:pPr>
              <w:spacing w:line="276" w:lineRule="auto"/>
              <w:rPr>
                <w:rFonts w:ascii="Calibri" w:eastAsia="Calibri" w:hAnsi="Calibri" w:cs="Times New Roman"/>
                <w:noProof/>
                <w:sz w:val="22"/>
                <w:lang w:val="sr-Cyrl-RS"/>
              </w:rPr>
            </w:pPr>
          </w:p>
        </w:tc>
      </w:tr>
      <w:tr w:rsidR="000C3943" w:rsidRPr="000C3943" w14:paraId="0341BDAC" w14:textId="77777777" w:rsidTr="000C3943">
        <w:trPr>
          <w:gridBefore w:val="1"/>
          <w:wBefore w:w="567" w:type="dxa"/>
        </w:trPr>
        <w:tc>
          <w:tcPr>
            <w:tcW w:w="6070" w:type="dxa"/>
            <w:gridSpan w:val="2"/>
          </w:tcPr>
          <w:p w14:paraId="6CE8349D" w14:textId="77777777" w:rsidR="000C3943" w:rsidRPr="000C3943" w:rsidRDefault="000C3943" w:rsidP="000C3943">
            <w:pPr>
              <w:spacing w:line="276" w:lineRule="auto"/>
              <w:rPr>
                <w:rFonts w:ascii="Calibri" w:eastAsia="Calibri" w:hAnsi="Calibri" w:cs="Times New Roman"/>
                <w:noProof/>
                <w:sz w:val="22"/>
                <w:lang w:val="sr-Cyrl-RS"/>
              </w:rPr>
            </w:pPr>
          </w:p>
          <w:p w14:paraId="2337568F" w14:textId="77777777" w:rsidR="000C3943" w:rsidRPr="000C3943" w:rsidRDefault="000C3943" w:rsidP="000C3943">
            <w:pPr>
              <w:spacing w:line="276" w:lineRule="auto"/>
              <w:rPr>
                <w:rFonts w:ascii="Calibri" w:eastAsia="Calibri" w:hAnsi="Calibri" w:cs="Times New Roman"/>
                <w:noProof/>
                <w:sz w:val="22"/>
                <w:lang w:val="sr-Cyrl-RS"/>
              </w:rPr>
            </w:pPr>
          </w:p>
          <w:p w14:paraId="1D00789A" w14:textId="77777777" w:rsidR="000C3943" w:rsidRPr="000C3943" w:rsidRDefault="000C3943" w:rsidP="000C3943">
            <w:pPr>
              <w:spacing w:line="276" w:lineRule="auto"/>
              <w:rPr>
                <w:rFonts w:ascii="Calibri" w:eastAsia="Calibri" w:hAnsi="Calibri" w:cs="Times New Roman"/>
                <w:noProof/>
                <w:sz w:val="22"/>
                <w:lang w:val="sr-Cyrl-RS"/>
              </w:rPr>
            </w:pPr>
          </w:p>
          <w:p w14:paraId="361F7ED1" w14:textId="77777777" w:rsidR="000C3943" w:rsidRPr="000C3943" w:rsidRDefault="000C3943" w:rsidP="000C3943">
            <w:pPr>
              <w:spacing w:line="276" w:lineRule="auto"/>
              <w:rPr>
                <w:rFonts w:ascii="Calibri" w:eastAsia="Calibri" w:hAnsi="Calibri" w:cs="Times New Roman"/>
                <w:noProof/>
                <w:sz w:val="22"/>
                <w:lang w:val="sr-Cyrl-RS"/>
              </w:rPr>
            </w:pPr>
            <w:r w:rsidRPr="000C3943">
              <w:rPr>
                <w:rFonts w:ascii="Calibri" w:eastAsia="Calibri" w:hAnsi="Calibri" w:cs="Times New Roman"/>
                <w:noProof/>
                <w:sz w:val="22"/>
                <w:lang w:eastAsia="sr-Latn-RS"/>
              </w:rPr>
              <w:drawing>
                <wp:inline distT="0" distB="0" distL="0" distR="0" wp14:anchorId="04BC559E" wp14:editId="482D4D6A">
                  <wp:extent cx="1317009" cy="567866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DSI New 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4309" cy="57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C3943">
              <w:rPr>
                <w:rFonts w:ascii="Calibri" w:eastAsia="Calibri" w:hAnsi="Calibri" w:cs="Times New Roman"/>
                <w:noProof/>
                <w:sz w:val="22"/>
                <w:lang w:val="sr-Cyrl-RS"/>
              </w:rPr>
              <w:t xml:space="preserve">         </w:t>
            </w:r>
            <w:r w:rsidRPr="000C3943">
              <w:rPr>
                <w:rFonts w:ascii="Calibri" w:eastAsia="Calibri" w:hAnsi="Calibri" w:cs="Times New Roman"/>
                <w:noProof/>
                <w:sz w:val="22"/>
                <w:lang w:eastAsia="sr-Latn-RS"/>
              </w:rPr>
              <w:drawing>
                <wp:inline distT="0" distB="0" distL="0" distR="0" wp14:anchorId="0CFFAC22" wp14:editId="477B58E9">
                  <wp:extent cx="1501254" cy="580483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xima-Consulting_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383" cy="5929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7" w:type="dxa"/>
            <w:gridSpan w:val="2"/>
            <w:vAlign w:val="bottom"/>
          </w:tcPr>
          <w:p w14:paraId="7150EDB7" w14:textId="77777777" w:rsidR="000C3943" w:rsidRPr="000C3943" w:rsidRDefault="000C3943" w:rsidP="000C3943">
            <w:pPr>
              <w:spacing w:line="276" w:lineRule="auto"/>
              <w:jc w:val="right"/>
              <w:rPr>
                <w:rFonts w:ascii="Calibri" w:eastAsia="Calibri" w:hAnsi="Calibri" w:cs="Times New Roman"/>
                <w:sz w:val="22"/>
                <w:lang w:val="sr-Cyrl-RS"/>
              </w:rPr>
            </w:pPr>
            <w:r w:rsidRPr="000C3943">
              <w:rPr>
                <w:rFonts w:ascii="Calibri" w:eastAsia="Calibri" w:hAnsi="Calibri" w:cs="Times New Roman"/>
                <w:noProof/>
                <w:sz w:val="22"/>
                <w:lang w:eastAsia="sr-Latn-RS"/>
              </w:rPr>
              <w:drawing>
                <wp:inline distT="0" distB="0" distL="0" distR="0" wp14:anchorId="620EC433" wp14:editId="6B89C565">
                  <wp:extent cx="1981200" cy="1176528"/>
                  <wp:effectExtent l="0" t="0" r="0" b="508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L_En_WBF_SECO_CMYK_pos_hoch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176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BC84DC" w14:textId="77777777" w:rsidR="000C3943" w:rsidRPr="000C3943" w:rsidRDefault="000C3943" w:rsidP="000C3943">
            <w:pPr>
              <w:spacing w:line="276" w:lineRule="auto"/>
              <w:jc w:val="right"/>
              <w:rPr>
                <w:rFonts w:ascii="Calibri" w:eastAsia="Calibri" w:hAnsi="Calibri" w:cs="Times New Roman"/>
                <w:sz w:val="22"/>
                <w:lang w:val="sr-Cyrl-RS"/>
              </w:rPr>
            </w:pPr>
          </w:p>
        </w:tc>
      </w:tr>
      <w:tr w:rsidR="000C3943" w:rsidRPr="000C3943" w14:paraId="087DB182" w14:textId="77777777" w:rsidTr="000C3943">
        <w:trPr>
          <w:gridBefore w:val="1"/>
          <w:wBefore w:w="567" w:type="dxa"/>
        </w:trPr>
        <w:tc>
          <w:tcPr>
            <w:tcW w:w="6070" w:type="dxa"/>
            <w:gridSpan w:val="2"/>
          </w:tcPr>
          <w:p w14:paraId="0C16297B" w14:textId="77777777" w:rsidR="000C3943" w:rsidRPr="000C3943" w:rsidRDefault="000C3943" w:rsidP="000C3943">
            <w:pPr>
              <w:spacing w:line="276" w:lineRule="auto"/>
              <w:rPr>
                <w:rFonts w:ascii="Calibri" w:eastAsia="Calibri" w:hAnsi="Calibri" w:cs="Times New Roman"/>
                <w:noProof/>
                <w:sz w:val="22"/>
                <w:lang w:val="sr-Cyrl-RS"/>
              </w:rPr>
            </w:pPr>
            <w:r w:rsidRPr="000C3943">
              <w:rPr>
                <w:rFonts w:ascii="Calibri" w:eastAsia="Calibri" w:hAnsi="Calibri" w:cs="Times New Roman"/>
                <w:noProof/>
                <w:sz w:val="22"/>
                <w:lang w:val="sr-Cyrl-RS"/>
              </w:rPr>
              <w:t>Implemented by / Projekat sprovode</w:t>
            </w:r>
          </w:p>
        </w:tc>
        <w:tc>
          <w:tcPr>
            <w:tcW w:w="4987" w:type="dxa"/>
            <w:gridSpan w:val="2"/>
            <w:vAlign w:val="bottom"/>
          </w:tcPr>
          <w:p w14:paraId="49421DCA" w14:textId="77777777" w:rsidR="000C3943" w:rsidRPr="000C3943" w:rsidRDefault="000C3943" w:rsidP="000C3943">
            <w:pPr>
              <w:spacing w:line="276" w:lineRule="auto"/>
              <w:jc w:val="right"/>
              <w:rPr>
                <w:rFonts w:ascii="Calibri" w:eastAsia="Calibri" w:hAnsi="Calibri" w:cs="Times New Roman"/>
                <w:noProof/>
                <w:sz w:val="22"/>
                <w:lang w:val="sr-Cyrl-RS"/>
              </w:rPr>
            </w:pPr>
            <w:r w:rsidRPr="000C3943">
              <w:rPr>
                <w:rFonts w:ascii="Calibri" w:eastAsia="Calibri" w:hAnsi="Calibri" w:cs="Times New Roman"/>
                <w:noProof/>
                <w:sz w:val="22"/>
                <w:lang w:val="sr-Cyrl-RS"/>
              </w:rPr>
              <w:t>A Project supported by / Projekat podržava</w:t>
            </w:r>
          </w:p>
        </w:tc>
      </w:tr>
      <w:tr w:rsidR="000C3943" w:rsidRPr="000C3943" w14:paraId="41881FE2" w14:textId="77777777" w:rsidTr="000C3943">
        <w:trPr>
          <w:gridAfter w:val="1"/>
          <w:wAfter w:w="142" w:type="dxa"/>
        </w:trPr>
        <w:tc>
          <w:tcPr>
            <w:tcW w:w="11482" w:type="dxa"/>
            <w:gridSpan w:val="4"/>
          </w:tcPr>
          <w:p w14:paraId="590F7854" w14:textId="77777777" w:rsidR="000C3943" w:rsidRPr="000C3943" w:rsidRDefault="000C3943" w:rsidP="000C3943">
            <w:pPr>
              <w:spacing w:line="276" w:lineRule="auto"/>
              <w:jc w:val="center"/>
              <w:rPr>
                <w:rFonts w:ascii="Calibri" w:eastAsia="Calibri" w:hAnsi="Calibri" w:cs="Times New Roman"/>
                <w:sz w:val="22"/>
                <w:lang w:val="sr-Cyrl-RS"/>
              </w:rPr>
            </w:pPr>
          </w:p>
        </w:tc>
      </w:tr>
    </w:tbl>
    <w:p w14:paraId="142A14A9" w14:textId="77777777" w:rsidR="00A2187B" w:rsidRDefault="00A2187B" w:rsidP="003F3192">
      <w:pPr>
        <w:rPr>
          <w:rFonts w:asciiTheme="minorHAnsi" w:eastAsia="Times New Roman" w:hAnsiTheme="minorHAnsi" w:cstheme="minorHAnsi"/>
          <w:szCs w:val="20"/>
          <w:lang w:val="sr-Cyrl-RS" w:eastAsia="sr-Latn-RS"/>
        </w:rPr>
        <w:sectPr w:rsidR="00A2187B" w:rsidSect="000C3943">
          <w:pgSz w:w="11906" w:h="16838"/>
          <w:pgMar w:top="678" w:right="426" w:bottom="567" w:left="568" w:header="708" w:footer="708" w:gutter="0"/>
          <w:cols w:space="708"/>
          <w:docGrid w:linePitch="360"/>
        </w:sectPr>
      </w:pPr>
    </w:p>
    <w:p w14:paraId="210A510C" w14:textId="7582D36A" w:rsidR="00210381" w:rsidRDefault="00210381">
      <w:pPr>
        <w:rPr>
          <w:rFonts w:asciiTheme="majorHAnsi" w:eastAsia="Calibri" w:hAnsiTheme="majorHAnsi" w:cstheme="majorHAnsi"/>
          <w:b/>
          <w:color w:val="A71B26"/>
          <w:sz w:val="32"/>
          <w:szCs w:val="32"/>
          <w:highlight w:val="lightGray"/>
          <w:lang w:val="sr-Cyrl-RS"/>
        </w:rPr>
      </w:pPr>
      <w:bookmarkStart w:id="0" w:name="_Toc14255202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sr-Cyrl-RS"/>
        </w:rPr>
        <w:id w:val="-1507210769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  <w:noProof/>
          <w:sz w:val="24"/>
        </w:rPr>
      </w:sdtEndPr>
      <w:sdtContent>
        <w:p w14:paraId="0ED3C6C8" w14:textId="77777777" w:rsidR="00BF019D" w:rsidRPr="00F8731B" w:rsidRDefault="00BF019D" w:rsidP="00BF019D">
          <w:pPr>
            <w:pStyle w:val="TOCHeading"/>
            <w:spacing w:before="0" w:line="276" w:lineRule="auto"/>
            <w:rPr>
              <w:rStyle w:val="Heading1Char"/>
              <w:lang w:val="sr-Cyrl-RS"/>
            </w:rPr>
          </w:pPr>
          <w:r w:rsidRPr="00F8731B">
            <w:rPr>
              <w:rStyle w:val="Heading1Char"/>
              <w:lang w:val="sr-Cyrl-RS"/>
            </w:rPr>
            <w:t>Садржај</w:t>
          </w:r>
        </w:p>
        <w:p w14:paraId="3777B777" w14:textId="72EF9392" w:rsidR="00BF019D" w:rsidRDefault="00BF019D">
          <w:pPr>
            <w:pStyle w:val="TOC1"/>
            <w:tabs>
              <w:tab w:val="left" w:pos="480"/>
              <w:tab w:val="right" w:leader="underscore" w:pos="906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val="sr-Cyrl-RS" w:eastAsia="sr-Cyrl-RS"/>
            </w:rPr>
          </w:pPr>
          <w:r w:rsidRPr="00F8731B">
            <w:rPr>
              <w:lang w:val="sr-Cyrl-RS"/>
            </w:rPr>
            <w:fldChar w:fldCharType="begin"/>
          </w:r>
          <w:r w:rsidRPr="00F8731B">
            <w:rPr>
              <w:lang w:val="sr-Cyrl-RS"/>
            </w:rPr>
            <w:instrText xml:space="preserve"> TOC \o "1-3" \h \z \u </w:instrText>
          </w:r>
          <w:r w:rsidRPr="00F8731B">
            <w:rPr>
              <w:lang w:val="sr-Cyrl-RS"/>
            </w:rPr>
            <w:fldChar w:fldCharType="separate"/>
          </w:r>
          <w:hyperlink w:anchor="_Toc15457661" w:history="1">
            <w:r w:rsidRPr="00002FF4">
              <w:rPr>
                <w:rStyle w:val="Hyperlink"/>
                <w:rFonts w:eastAsia="Calibri" w:cstheme="majorHAnsi"/>
                <w:noProof/>
                <w:lang w:val="sr-Cyrl-RS"/>
              </w:rPr>
              <w:t>1.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  <w:lang w:val="sr-Cyrl-RS" w:eastAsia="sr-Cyrl-RS"/>
              </w:rPr>
              <w:tab/>
            </w:r>
            <w:r w:rsidRPr="00002FF4">
              <w:rPr>
                <w:rStyle w:val="Hyperlink"/>
                <w:rFonts w:eastAsia="Calibri" w:cstheme="majorHAnsi"/>
                <w:noProof/>
                <w:lang w:val="sr-Cyrl-RS"/>
              </w:rPr>
              <w:t>Увод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_Toc15457661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C61B50" w14:textId="3BF3E082" w:rsidR="00BF019D" w:rsidRDefault="009165C1">
          <w:pPr>
            <w:pStyle w:val="TOC2"/>
            <w:tabs>
              <w:tab w:val="left" w:pos="960"/>
              <w:tab w:val="right" w:leader="underscore" w:pos="9060"/>
            </w:tabs>
            <w:rPr>
              <w:rFonts w:eastAsiaTheme="minorEastAsia" w:cstheme="minorBidi"/>
              <w:b w:val="0"/>
              <w:bCs w:val="0"/>
              <w:noProof/>
              <w:lang w:val="sr-Cyrl-RS" w:eastAsia="sr-Cyrl-RS"/>
            </w:rPr>
          </w:pPr>
          <w:hyperlink w:anchor="_Toc15457662" w:history="1">
            <w:r w:rsidR="00BF019D" w:rsidRPr="00002FF4">
              <w:rPr>
                <w:rStyle w:val="Hyperlink"/>
                <w:noProof/>
                <w:lang w:val="sr-Cyrl-RS"/>
              </w:rPr>
              <w:t>1.1.</w:t>
            </w:r>
            <w:r w:rsidR="00BF019D">
              <w:rPr>
                <w:rFonts w:eastAsiaTheme="minorEastAsia" w:cstheme="minorBidi"/>
                <w:b w:val="0"/>
                <w:bCs w:val="0"/>
                <w:noProof/>
                <w:lang w:val="sr-Cyrl-RS" w:eastAsia="sr-Cyrl-RS"/>
              </w:rPr>
              <w:tab/>
            </w:r>
            <w:r w:rsidR="00BF019D" w:rsidRPr="00002FF4">
              <w:rPr>
                <w:rStyle w:val="Hyperlink"/>
                <w:noProof/>
                <w:lang w:val="sr-Cyrl-RS"/>
              </w:rPr>
              <w:t>Мерење нивоа корпоративног управљања у локалним јавним предузећима</w:t>
            </w:r>
            <w:r w:rsidR="00BF019D">
              <w:rPr>
                <w:noProof/>
                <w:webHidden/>
              </w:rPr>
              <w:tab/>
            </w:r>
            <w:r w:rsidR="00BF019D">
              <w:rPr>
                <w:noProof/>
                <w:webHidden/>
              </w:rPr>
              <w:fldChar w:fldCharType="begin"/>
            </w:r>
            <w:r w:rsidR="00BF019D">
              <w:rPr>
                <w:noProof/>
                <w:webHidden/>
              </w:rPr>
              <w:instrText xml:space="preserve"> PAGEREF _Toc15457662 \h </w:instrText>
            </w:r>
            <w:r w:rsidR="00BF019D">
              <w:rPr>
                <w:noProof/>
                <w:webHidden/>
              </w:rPr>
            </w:r>
            <w:r w:rsidR="00BF019D">
              <w:rPr>
                <w:noProof/>
                <w:webHidden/>
              </w:rPr>
              <w:fldChar w:fldCharType="separate"/>
            </w:r>
            <w:r w:rsidR="00BF019D">
              <w:rPr>
                <w:noProof/>
                <w:webHidden/>
              </w:rPr>
              <w:t>3</w:t>
            </w:r>
            <w:r w:rsidR="00BF019D">
              <w:rPr>
                <w:noProof/>
                <w:webHidden/>
              </w:rPr>
              <w:fldChar w:fldCharType="end"/>
            </w:r>
          </w:hyperlink>
        </w:p>
        <w:p w14:paraId="79127FAF" w14:textId="4C2720BE" w:rsidR="00BF019D" w:rsidRDefault="009165C1">
          <w:pPr>
            <w:pStyle w:val="TOC2"/>
            <w:tabs>
              <w:tab w:val="left" w:pos="960"/>
              <w:tab w:val="right" w:leader="underscore" w:pos="9060"/>
            </w:tabs>
            <w:rPr>
              <w:rFonts w:eastAsiaTheme="minorEastAsia" w:cstheme="minorBidi"/>
              <w:b w:val="0"/>
              <w:bCs w:val="0"/>
              <w:noProof/>
              <w:lang w:val="sr-Cyrl-RS" w:eastAsia="sr-Cyrl-RS"/>
            </w:rPr>
          </w:pPr>
          <w:hyperlink w:anchor="_Toc15457663" w:history="1">
            <w:r w:rsidR="00BF019D" w:rsidRPr="00002FF4">
              <w:rPr>
                <w:rStyle w:val="Hyperlink"/>
                <w:noProof/>
                <w:lang w:val="sr-Cyrl-RS"/>
              </w:rPr>
              <w:t>1.2.</w:t>
            </w:r>
            <w:r w:rsidR="00BF019D">
              <w:rPr>
                <w:rFonts w:eastAsiaTheme="minorEastAsia" w:cstheme="minorBidi"/>
                <w:b w:val="0"/>
                <w:bCs w:val="0"/>
                <w:noProof/>
                <w:lang w:val="sr-Cyrl-RS" w:eastAsia="sr-Cyrl-RS"/>
              </w:rPr>
              <w:tab/>
            </w:r>
            <w:r w:rsidR="00BF019D" w:rsidRPr="00002FF4">
              <w:rPr>
                <w:rStyle w:val="Hyperlink"/>
                <w:noProof/>
                <w:lang w:val="sr-Cyrl-RS"/>
              </w:rPr>
              <w:t xml:space="preserve">Методологија </w:t>
            </w:r>
            <w:r w:rsidR="00BF019D" w:rsidRPr="00002FF4">
              <w:rPr>
                <w:rStyle w:val="Hyperlink"/>
                <w:i/>
                <w:noProof/>
                <w:lang w:val="sr-Cyrl-RS"/>
              </w:rPr>
              <w:t>scorecard</w:t>
            </w:r>
            <w:r w:rsidR="00BF019D" w:rsidRPr="00002FF4">
              <w:rPr>
                <w:rStyle w:val="Hyperlink"/>
                <w:noProof/>
                <w:lang w:val="sr-Cyrl-RS"/>
              </w:rPr>
              <w:t>-а</w:t>
            </w:r>
            <w:r w:rsidR="00BF019D">
              <w:rPr>
                <w:noProof/>
                <w:webHidden/>
              </w:rPr>
              <w:tab/>
            </w:r>
            <w:r w:rsidR="00BF019D">
              <w:rPr>
                <w:noProof/>
                <w:webHidden/>
              </w:rPr>
              <w:fldChar w:fldCharType="begin"/>
            </w:r>
            <w:r w:rsidR="00BF019D">
              <w:rPr>
                <w:noProof/>
                <w:webHidden/>
              </w:rPr>
              <w:instrText xml:space="preserve"> PAGEREF _Toc15457663 \h </w:instrText>
            </w:r>
            <w:r w:rsidR="00BF019D">
              <w:rPr>
                <w:noProof/>
                <w:webHidden/>
              </w:rPr>
            </w:r>
            <w:r w:rsidR="00BF019D">
              <w:rPr>
                <w:noProof/>
                <w:webHidden/>
              </w:rPr>
              <w:fldChar w:fldCharType="separate"/>
            </w:r>
            <w:r w:rsidR="00BF019D">
              <w:rPr>
                <w:noProof/>
                <w:webHidden/>
              </w:rPr>
              <w:t>4</w:t>
            </w:r>
            <w:r w:rsidR="00BF019D">
              <w:rPr>
                <w:noProof/>
                <w:webHidden/>
              </w:rPr>
              <w:fldChar w:fldCharType="end"/>
            </w:r>
          </w:hyperlink>
        </w:p>
        <w:p w14:paraId="55B9628C" w14:textId="2B2C0F72" w:rsidR="00BF019D" w:rsidRDefault="009165C1">
          <w:pPr>
            <w:pStyle w:val="TOC1"/>
            <w:tabs>
              <w:tab w:val="left" w:pos="480"/>
              <w:tab w:val="right" w:leader="underscore" w:pos="906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val="sr-Cyrl-RS" w:eastAsia="sr-Cyrl-RS"/>
            </w:rPr>
          </w:pPr>
          <w:hyperlink w:anchor="_Toc15457664" w:history="1">
            <w:r w:rsidR="00BF019D" w:rsidRPr="00002FF4">
              <w:rPr>
                <w:rStyle w:val="Hyperlink"/>
                <w:noProof/>
              </w:rPr>
              <w:t>2.</w:t>
            </w:r>
            <w:r w:rsidR="00BF019D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  <w:lang w:val="sr-Cyrl-RS" w:eastAsia="sr-Cyrl-RS"/>
              </w:rPr>
              <w:tab/>
            </w:r>
            <w:r w:rsidR="00BF019D" w:rsidRPr="00002FF4">
              <w:rPr>
                <w:rStyle w:val="Hyperlink"/>
                <w:noProof/>
              </w:rPr>
              <w:t>Упитник</w:t>
            </w:r>
            <w:r w:rsidR="00BF019D">
              <w:rPr>
                <w:noProof/>
                <w:webHidden/>
              </w:rPr>
              <w:tab/>
            </w:r>
            <w:r w:rsidR="00BF019D">
              <w:rPr>
                <w:noProof/>
                <w:webHidden/>
              </w:rPr>
              <w:fldChar w:fldCharType="begin"/>
            </w:r>
            <w:r w:rsidR="00BF019D">
              <w:rPr>
                <w:noProof/>
                <w:webHidden/>
              </w:rPr>
              <w:instrText xml:space="preserve"> PAGEREF _Toc15457664 \h </w:instrText>
            </w:r>
            <w:r w:rsidR="00BF019D">
              <w:rPr>
                <w:noProof/>
                <w:webHidden/>
              </w:rPr>
            </w:r>
            <w:r w:rsidR="00BF019D">
              <w:rPr>
                <w:noProof/>
                <w:webHidden/>
              </w:rPr>
              <w:fldChar w:fldCharType="separate"/>
            </w:r>
            <w:r w:rsidR="00BF019D">
              <w:rPr>
                <w:noProof/>
                <w:webHidden/>
              </w:rPr>
              <w:t>5</w:t>
            </w:r>
            <w:r w:rsidR="00BF019D">
              <w:rPr>
                <w:noProof/>
                <w:webHidden/>
              </w:rPr>
              <w:fldChar w:fldCharType="end"/>
            </w:r>
          </w:hyperlink>
        </w:p>
        <w:p w14:paraId="44066602" w14:textId="7C91C7B3" w:rsidR="00BF019D" w:rsidRDefault="009165C1">
          <w:pPr>
            <w:pStyle w:val="TOC1"/>
            <w:tabs>
              <w:tab w:val="left" w:pos="480"/>
              <w:tab w:val="right" w:leader="underscore" w:pos="906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val="sr-Cyrl-RS" w:eastAsia="sr-Cyrl-RS"/>
            </w:rPr>
          </w:pPr>
          <w:hyperlink w:anchor="_Toc15457665" w:history="1">
            <w:r w:rsidR="00BF019D" w:rsidRPr="00002FF4">
              <w:rPr>
                <w:rStyle w:val="Hyperlink"/>
                <w:rFonts w:eastAsia="Times New Roman"/>
                <w:noProof/>
                <w:lang w:eastAsia="sr-Cyrl-RS"/>
              </w:rPr>
              <w:t>3.</w:t>
            </w:r>
            <w:r w:rsidR="00BF019D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  <w:lang w:val="sr-Cyrl-RS" w:eastAsia="sr-Cyrl-RS"/>
              </w:rPr>
              <w:tab/>
            </w:r>
            <w:r w:rsidR="00BF019D" w:rsidRPr="00002FF4">
              <w:rPr>
                <w:rStyle w:val="Hyperlink"/>
                <w:rFonts w:eastAsia="Times New Roman"/>
                <w:noProof/>
                <w:lang w:eastAsia="sr-Cyrl-RS"/>
              </w:rPr>
              <w:t>Извештај</w:t>
            </w:r>
            <w:r w:rsidR="00BF019D">
              <w:rPr>
                <w:noProof/>
                <w:webHidden/>
              </w:rPr>
              <w:tab/>
            </w:r>
            <w:r w:rsidR="00BF019D">
              <w:rPr>
                <w:noProof/>
                <w:webHidden/>
              </w:rPr>
              <w:fldChar w:fldCharType="begin"/>
            </w:r>
            <w:r w:rsidR="00BF019D">
              <w:rPr>
                <w:noProof/>
                <w:webHidden/>
              </w:rPr>
              <w:instrText xml:space="preserve"> PAGEREF _Toc15457665 \h </w:instrText>
            </w:r>
            <w:r w:rsidR="00BF019D">
              <w:rPr>
                <w:noProof/>
                <w:webHidden/>
              </w:rPr>
            </w:r>
            <w:r w:rsidR="00BF019D">
              <w:rPr>
                <w:noProof/>
                <w:webHidden/>
              </w:rPr>
              <w:fldChar w:fldCharType="separate"/>
            </w:r>
            <w:r w:rsidR="00BF019D">
              <w:rPr>
                <w:noProof/>
                <w:webHidden/>
              </w:rPr>
              <w:t>12</w:t>
            </w:r>
            <w:r w:rsidR="00BF019D">
              <w:rPr>
                <w:noProof/>
                <w:webHidden/>
              </w:rPr>
              <w:fldChar w:fldCharType="end"/>
            </w:r>
          </w:hyperlink>
        </w:p>
        <w:p w14:paraId="3F61D100" w14:textId="06CE67FB" w:rsidR="00BF019D" w:rsidRDefault="00BF019D" w:rsidP="00BF019D">
          <w:pPr>
            <w:spacing w:line="276" w:lineRule="auto"/>
            <w:rPr>
              <w:b/>
              <w:bCs/>
              <w:noProof/>
            </w:rPr>
          </w:pPr>
          <w:r w:rsidRPr="00F8731B">
            <w:rPr>
              <w:b/>
              <w:bCs/>
              <w:caps/>
              <w:sz w:val="20"/>
              <w:szCs w:val="20"/>
              <w:lang w:val="sr-Cyrl-RS"/>
            </w:rPr>
            <w:fldChar w:fldCharType="end"/>
          </w:r>
        </w:p>
      </w:sdtContent>
    </w:sdt>
    <w:p w14:paraId="13972E5D" w14:textId="330D51DD" w:rsidR="00210381" w:rsidRDefault="00210381">
      <w:pPr>
        <w:rPr>
          <w:rFonts w:asciiTheme="majorHAnsi" w:eastAsia="Calibri" w:hAnsiTheme="majorHAnsi" w:cstheme="majorHAnsi"/>
          <w:b/>
          <w:color w:val="A71B26"/>
          <w:sz w:val="32"/>
          <w:szCs w:val="32"/>
          <w:highlight w:val="lightGray"/>
          <w:lang w:val="sr-Cyrl-RS"/>
        </w:rPr>
      </w:pPr>
    </w:p>
    <w:p w14:paraId="16EFBA14" w14:textId="77777777" w:rsidR="003F3192" w:rsidRDefault="003F3192">
      <w:pPr>
        <w:rPr>
          <w:rFonts w:asciiTheme="majorHAnsi" w:eastAsia="Calibri" w:hAnsiTheme="majorHAnsi" w:cstheme="majorHAnsi"/>
          <w:b/>
          <w:color w:val="A71B26"/>
          <w:sz w:val="32"/>
          <w:szCs w:val="32"/>
          <w:lang w:val="sr-Cyrl-RS"/>
        </w:rPr>
      </w:pPr>
      <w:r>
        <w:rPr>
          <w:rFonts w:eastAsia="Calibri" w:cstheme="majorHAnsi"/>
          <w:sz w:val="32"/>
          <w:lang w:val="sr-Cyrl-RS"/>
        </w:rPr>
        <w:br w:type="page"/>
      </w:r>
    </w:p>
    <w:p w14:paraId="1662FFCA" w14:textId="007EDF6D" w:rsidR="00A2187B" w:rsidRPr="003B587F" w:rsidRDefault="00A2187B" w:rsidP="00BF019D">
      <w:pPr>
        <w:pStyle w:val="Heading1"/>
        <w:numPr>
          <w:ilvl w:val="0"/>
          <w:numId w:val="4"/>
        </w:numPr>
        <w:spacing w:before="0" w:line="276" w:lineRule="auto"/>
        <w:rPr>
          <w:rFonts w:eastAsia="Calibri" w:cstheme="majorHAnsi"/>
          <w:sz w:val="32"/>
          <w:lang w:val="sr-Cyrl-RS"/>
        </w:rPr>
      </w:pPr>
      <w:bookmarkStart w:id="1" w:name="_Toc15457603"/>
      <w:bookmarkStart w:id="2" w:name="_Toc15457661"/>
      <w:r w:rsidRPr="003B587F">
        <w:rPr>
          <w:rFonts w:eastAsia="Calibri" w:cstheme="majorHAnsi"/>
          <w:sz w:val="32"/>
          <w:lang w:val="sr-Cyrl-RS"/>
        </w:rPr>
        <w:lastRenderedPageBreak/>
        <w:t>Увод</w:t>
      </w:r>
      <w:bookmarkEnd w:id="0"/>
      <w:bookmarkEnd w:id="1"/>
      <w:bookmarkEnd w:id="2"/>
      <w:r w:rsidRPr="003B587F">
        <w:rPr>
          <w:rFonts w:eastAsia="Calibri" w:cstheme="majorHAnsi"/>
          <w:sz w:val="32"/>
          <w:lang w:val="sr-Cyrl-RS"/>
        </w:rPr>
        <w:t xml:space="preserve"> </w:t>
      </w:r>
    </w:p>
    <w:p w14:paraId="6EFBB016" w14:textId="77777777" w:rsidR="00A2187B" w:rsidRPr="003B587F" w:rsidRDefault="00A2187B" w:rsidP="00A2187B">
      <w:pPr>
        <w:spacing w:after="0" w:line="276" w:lineRule="auto"/>
        <w:jc w:val="center"/>
        <w:rPr>
          <w:rFonts w:asciiTheme="minorHAnsi" w:hAnsiTheme="minorHAnsi" w:cstheme="minorHAnsi"/>
          <w:b/>
          <w:color w:val="365F91"/>
          <w:szCs w:val="24"/>
          <w:lang w:val="sr-Cyrl-RS"/>
        </w:rPr>
      </w:pPr>
    </w:p>
    <w:p w14:paraId="489F35AD" w14:textId="77777777" w:rsidR="00A2187B" w:rsidRPr="00955252" w:rsidRDefault="00A2187B" w:rsidP="00955252">
      <w:pPr>
        <w:spacing w:after="0" w:line="276" w:lineRule="auto"/>
        <w:jc w:val="both"/>
        <w:rPr>
          <w:rFonts w:asciiTheme="minorHAnsi" w:hAnsiTheme="minorHAnsi" w:cstheme="minorHAnsi"/>
          <w:sz w:val="22"/>
          <w:lang w:val="sr-Cyrl-RS"/>
        </w:rPr>
      </w:pPr>
      <w:r w:rsidRPr="00955252">
        <w:rPr>
          <w:rFonts w:asciiTheme="minorHAnsi" w:hAnsiTheme="minorHAnsi" w:cstheme="minorHAnsi"/>
          <w:sz w:val="22"/>
          <w:lang w:val="sr-Cyrl-RS"/>
        </w:rPr>
        <w:t xml:space="preserve">Након успешне имплементације прве фазе пројекта </w:t>
      </w:r>
      <w:r w:rsidRPr="00955252">
        <w:rPr>
          <w:rFonts w:asciiTheme="minorHAnsi" w:eastAsia="Calibri" w:hAnsiTheme="minorHAnsi" w:cstheme="minorHAnsi"/>
          <w:sz w:val="22"/>
          <w:lang w:val="sr-Cyrl-RS"/>
        </w:rPr>
        <w:t>Реформа локалних финансија у Србији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, која се завршила јануара 2019. године, Швајцарски секретаријат за економске послове је одобрио другу фазу пројекта Реформа локалних финансија у Србији (РЕЛОФ2). Пројекат РЕЛОФ2 траје од 1. фебруара 2019. године до 31. јануара 2023. године и одвијаће се у два циклуса (2019 – 2020. године и 2021 – 2022. године). Фокус пројекта РЕЛОФ2 је подршка локалним самоуправама у примени принципа доброг управљања у управљању ризицима и учинцима кроз свеобухватну унутрашњу контролу и адекватно управљање јавним финансијама. </w:t>
      </w:r>
    </w:p>
    <w:p w14:paraId="1EDB0717" w14:textId="77777777" w:rsidR="00A2187B" w:rsidRPr="00955252" w:rsidRDefault="00A2187B" w:rsidP="00955252">
      <w:pPr>
        <w:spacing w:after="0" w:line="276" w:lineRule="auto"/>
        <w:jc w:val="both"/>
        <w:rPr>
          <w:rFonts w:asciiTheme="minorHAnsi" w:eastAsia="Calibri" w:hAnsiTheme="minorHAnsi" w:cstheme="minorHAnsi"/>
          <w:sz w:val="22"/>
          <w:lang w:val="sr-Cyrl-RS"/>
        </w:rPr>
      </w:pPr>
    </w:p>
    <w:p w14:paraId="53ABBDA5" w14:textId="77777777" w:rsidR="00A2187B" w:rsidRPr="00955252" w:rsidRDefault="00A2187B" w:rsidP="00955252">
      <w:pPr>
        <w:spacing w:after="0" w:line="276" w:lineRule="auto"/>
        <w:jc w:val="both"/>
        <w:rPr>
          <w:rFonts w:asciiTheme="minorHAnsi" w:eastAsia="Calibri" w:hAnsiTheme="minorHAnsi" w:cstheme="minorHAnsi"/>
          <w:sz w:val="22"/>
          <w:lang w:val="sr-Cyrl-RS"/>
        </w:rPr>
      </w:pPr>
      <w:r w:rsidRPr="00955252">
        <w:rPr>
          <w:rFonts w:asciiTheme="minorHAnsi" w:eastAsia="Calibri" w:hAnsiTheme="minorHAnsi" w:cstheme="minorHAnsi"/>
          <w:sz w:val="22"/>
          <w:lang w:val="sr-Cyrl-RS"/>
        </w:rPr>
        <w:t xml:space="preserve">РЕЛОФ2 ће се реализовати кроз следеће четири компоненте:  </w:t>
      </w:r>
    </w:p>
    <w:p w14:paraId="7E9736EF" w14:textId="77777777" w:rsidR="00A2187B" w:rsidRPr="00955252" w:rsidRDefault="00A2187B" w:rsidP="00955252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lang w:val="sr-Cyrl-RS"/>
        </w:rPr>
      </w:pPr>
      <w:r w:rsidRPr="00955252">
        <w:rPr>
          <w:rFonts w:asciiTheme="minorHAnsi" w:eastAsia="Calibri" w:hAnsiTheme="minorHAnsi" w:cstheme="minorHAnsi"/>
          <w:sz w:val="22"/>
          <w:lang w:val="sr-Cyrl-RS"/>
        </w:rPr>
        <w:t>Компонента 1 - Увођење или унапређење система финансијског управљања и контроле на локалном нивоу;</w:t>
      </w:r>
    </w:p>
    <w:p w14:paraId="0A23606B" w14:textId="77777777" w:rsidR="00A2187B" w:rsidRPr="00955252" w:rsidRDefault="00A2187B" w:rsidP="00955252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lang w:val="sr-Cyrl-RS"/>
        </w:rPr>
      </w:pPr>
      <w:r w:rsidRPr="00955252">
        <w:rPr>
          <w:rFonts w:asciiTheme="minorHAnsi" w:eastAsia="Calibri" w:hAnsiTheme="minorHAnsi" w:cstheme="minorHAnsi"/>
          <w:sz w:val="22"/>
          <w:lang w:val="sr-Cyrl-RS"/>
        </w:rPr>
        <w:t>Компонента 2 - Увођење или унапређење функције интерне ревизије на локалном нивоу;</w:t>
      </w:r>
    </w:p>
    <w:p w14:paraId="0A36AA70" w14:textId="77777777" w:rsidR="00A2187B" w:rsidRPr="00955252" w:rsidRDefault="00A2187B" w:rsidP="00955252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lang w:val="sr-Cyrl-RS"/>
        </w:rPr>
      </w:pPr>
      <w:r w:rsidRPr="00955252">
        <w:rPr>
          <w:rFonts w:asciiTheme="minorHAnsi" w:eastAsia="Calibri" w:hAnsiTheme="minorHAnsi" w:cstheme="minorHAnsi"/>
          <w:sz w:val="22"/>
          <w:lang w:val="sr-Cyrl-RS"/>
        </w:rPr>
        <w:t xml:space="preserve">Компонента 3 - Унапређење надзора фискалног ризика над локалним јавним предузећима; </w:t>
      </w:r>
    </w:p>
    <w:p w14:paraId="6E353BB0" w14:textId="77777777" w:rsidR="00A2187B" w:rsidRPr="00955252" w:rsidRDefault="00A2187B" w:rsidP="00955252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lang w:val="sr-Cyrl-RS"/>
        </w:rPr>
      </w:pPr>
      <w:r w:rsidRPr="00955252">
        <w:rPr>
          <w:rFonts w:asciiTheme="minorHAnsi" w:eastAsia="Calibri" w:hAnsiTheme="minorHAnsi" w:cstheme="minorHAnsi"/>
          <w:sz w:val="22"/>
          <w:lang w:val="sr-Cyrl-RS"/>
        </w:rPr>
        <w:t xml:space="preserve">Компонента 4 - </w:t>
      </w:r>
      <w:r w:rsidRPr="00955252">
        <w:rPr>
          <w:rFonts w:asciiTheme="minorHAnsi" w:eastAsia="Calibri" w:hAnsiTheme="minorHAnsi" w:cstheme="minorHAnsi"/>
          <w:sz w:val="22"/>
          <w:shd w:val="clear" w:color="auto" w:fill="FFFFFF"/>
          <w:lang w:val="sr-Cyrl-RS"/>
        </w:rPr>
        <w:t xml:space="preserve">Развој иновативних активности на управљању јавним финансијама на локалном нивоу. </w:t>
      </w:r>
    </w:p>
    <w:p w14:paraId="0B3FC733" w14:textId="77777777" w:rsidR="00A2187B" w:rsidRPr="00955252" w:rsidRDefault="00A2187B" w:rsidP="00955252">
      <w:pPr>
        <w:spacing w:after="0" w:line="276" w:lineRule="auto"/>
        <w:jc w:val="both"/>
        <w:rPr>
          <w:rFonts w:asciiTheme="minorHAnsi" w:hAnsiTheme="minorHAnsi" w:cstheme="minorHAnsi"/>
          <w:sz w:val="22"/>
          <w:lang w:val="sr-Cyrl-RS"/>
        </w:rPr>
      </w:pPr>
    </w:p>
    <w:p w14:paraId="28C9B789" w14:textId="002DD6C7" w:rsidR="00A2187B" w:rsidRPr="00955252" w:rsidRDefault="00A2187B" w:rsidP="00955252">
      <w:pPr>
        <w:spacing w:after="0" w:line="276" w:lineRule="auto"/>
        <w:jc w:val="both"/>
        <w:rPr>
          <w:rFonts w:asciiTheme="minorHAnsi" w:hAnsiTheme="minorHAnsi" w:cstheme="minorHAnsi"/>
          <w:sz w:val="22"/>
          <w:lang w:val="sr-Cyrl-RS"/>
        </w:rPr>
      </w:pPr>
      <w:r w:rsidRPr="00955252">
        <w:rPr>
          <w:rFonts w:asciiTheme="minorHAnsi" w:hAnsiTheme="minorHAnsi" w:cstheme="minorHAnsi"/>
          <w:sz w:val="22"/>
          <w:lang w:val="sr-Cyrl-RS"/>
        </w:rPr>
        <w:t>Трећа од четири компоненте РЕЛОФ2 је фокусирана на пружање подршке локалним самоуправама у унапређењу надзора над фискалним ризиком који генеришу њихова јавна предузећа. Јединице локалне самоуправе</w:t>
      </w:r>
      <w:r w:rsidR="00382BB5">
        <w:rPr>
          <w:rFonts w:asciiTheme="minorHAnsi" w:hAnsiTheme="minorHAnsi" w:cstheme="minorHAnsi"/>
          <w:sz w:val="22"/>
        </w:rPr>
        <w:t>,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које су изразиле заинтересованост за учешће у овој компоненти РЕЛОФ2 </w:t>
      </w:r>
      <w:r w:rsidRPr="00955252">
        <w:rPr>
          <w:rFonts w:asciiTheme="minorHAnsi" w:hAnsiTheme="minorHAnsi" w:cstheme="minorHAnsi"/>
          <w:sz w:val="22"/>
        </w:rPr>
        <w:t xml:space="preserve">и </w:t>
      </w:r>
      <w:r w:rsidRPr="00023B66">
        <w:rPr>
          <w:rFonts w:asciiTheme="minorHAnsi" w:hAnsiTheme="minorHAnsi" w:cstheme="minorHAnsi"/>
          <w:sz w:val="22"/>
          <w:lang w:val="sr-Cyrl-RS"/>
        </w:rPr>
        <w:t>желе да унапреде систем надзора над пословањем локалних јавних предузећа</w:t>
      </w:r>
      <w:r w:rsidR="00382BB5">
        <w:rPr>
          <w:rFonts w:asciiTheme="minorHAnsi" w:hAnsiTheme="minorHAnsi" w:cstheme="minorHAnsi"/>
          <w:sz w:val="22"/>
        </w:rPr>
        <w:t>,</w:t>
      </w:r>
      <w:r w:rsidR="00023B66" w:rsidRPr="00023B66">
        <w:rPr>
          <w:rFonts w:asciiTheme="minorHAnsi" w:hAnsiTheme="minorHAnsi" w:cstheme="minorHAnsi"/>
          <w:sz w:val="22"/>
          <w:lang w:val="sr-Cyrl-RS"/>
        </w:rPr>
        <w:t xml:space="preserve"> у</w:t>
      </w:r>
      <w:r w:rsidR="009B1AAF" w:rsidRPr="00023B66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023B66">
        <w:rPr>
          <w:rFonts w:asciiTheme="minorHAnsi" w:hAnsiTheme="minorHAnsi" w:cstheme="minorHAnsi"/>
          <w:sz w:val="22"/>
          <w:lang w:val="sr-Cyrl-RS"/>
        </w:rPr>
        <w:t xml:space="preserve">почетној фази пројекта </w:t>
      </w:r>
      <w:r w:rsidR="009B1AAF" w:rsidRPr="00955252">
        <w:rPr>
          <w:rFonts w:asciiTheme="minorHAnsi" w:hAnsiTheme="minorHAnsi" w:cstheme="minorHAnsi"/>
          <w:sz w:val="22"/>
          <w:lang w:val="sr-Cyrl-RS"/>
        </w:rPr>
        <w:t xml:space="preserve">су подвргнуте </w:t>
      </w:r>
      <w:r w:rsidRPr="00955252">
        <w:rPr>
          <w:rFonts w:asciiTheme="minorHAnsi" w:hAnsiTheme="minorHAnsi" w:cstheme="minorHAnsi"/>
          <w:sz w:val="22"/>
          <w:lang w:val="sr-Cyrl-RS"/>
        </w:rPr>
        <w:t>процени капацитета и спремности за обављање послова надзора</w:t>
      </w:r>
      <w:r w:rsidR="00382BB5">
        <w:rPr>
          <w:rFonts w:asciiTheme="minorHAnsi" w:hAnsiTheme="minorHAnsi" w:cstheme="minorHAnsi"/>
          <w:sz w:val="22"/>
        </w:rPr>
        <w:t xml:space="preserve">. </w:t>
      </w:r>
      <w:r w:rsidR="00382BB5">
        <w:rPr>
          <w:rFonts w:asciiTheme="minorHAnsi" w:hAnsiTheme="minorHAnsi" w:cstheme="minorHAnsi"/>
          <w:sz w:val="22"/>
          <w:lang w:val="sr-Cyrl-RS"/>
        </w:rPr>
        <w:t>Н</w:t>
      </w:r>
      <w:r w:rsidR="009B1AAF" w:rsidRPr="00955252">
        <w:rPr>
          <w:rFonts w:asciiTheme="minorHAnsi" w:hAnsiTheme="minorHAnsi" w:cstheme="minorHAnsi"/>
          <w:sz w:val="22"/>
          <w:lang w:val="sr-Cyrl-RS"/>
        </w:rPr>
        <w:t xml:space="preserve">аредна активност заснива на мерењу </w:t>
      </w:r>
      <w:r w:rsidR="00382BB5">
        <w:rPr>
          <w:rFonts w:asciiTheme="minorHAnsi" w:hAnsiTheme="minorHAnsi" w:cstheme="minorHAnsi"/>
          <w:sz w:val="22"/>
          <w:lang w:val="sr-Cyrl-RS"/>
        </w:rPr>
        <w:t xml:space="preserve">затеченог </w:t>
      </w:r>
      <w:r w:rsidR="009B1AAF" w:rsidRPr="00955252">
        <w:rPr>
          <w:rFonts w:asciiTheme="minorHAnsi" w:hAnsiTheme="minorHAnsi" w:cstheme="minorHAnsi"/>
          <w:sz w:val="22"/>
          <w:lang w:val="sr-Cyrl-RS"/>
        </w:rPr>
        <w:t xml:space="preserve">нивоа корпоративног управљања у локалним јавним предузећима коришћењем </w:t>
      </w:r>
      <w:proofErr w:type="spellStart"/>
      <w:r w:rsidR="009B1AAF" w:rsidRPr="00955252">
        <w:rPr>
          <w:rFonts w:asciiTheme="minorHAnsi" w:hAnsiTheme="minorHAnsi" w:cstheme="minorHAnsi"/>
          <w:i/>
          <w:sz w:val="22"/>
          <w:lang w:val="sr-Cyrl-RS"/>
        </w:rPr>
        <w:t>scorecard</w:t>
      </w:r>
      <w:proofErr w:type="spellEnd"/>
      <w:r w:rsidR="009B1AAF" w:rsidRPr="00955252">
        <w:rPr>
          <w:rFonts w:asciiTheme="minorHAnsi" w:hAnsiTheme="minorHAnsi" w:cstheme="minorHAnsi"/>
          <w:sz w:val="22"/>
          <w:lang w:val="sr-Cyrl-RS"/>
        </w:rPr>
        <w:t xml:space="preserve"> методе</w:t>
      </w:r>
      <w:r w:rsidR="003C4803" w:rsidRPr="00023B66">
        <w:rPr>
          <w:rFonts w:asciiTheme="minorHAnsi" w:hAnsiTheme="minorHAnsi" w:cstheme="minorHAnsi"/>
          <w:sz w:val="22"/>
          <w:lang w:val="sr-Cyrl-RS"/>
        </w:rPr>
        <w:t>.</w:t>
      </w:r>
      <w:r w:rsidR="009B1AAF" w:rsidRPr="00023B66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023B66">
        <w:rPr>
          <w:rFonts w:asciiTheme="minorHAnsi" w:hAnsiTheme="minorHAnsi" w:cstheme="minorHAnsi"/>
          <w:sz w:val="22"/>
          <w:lang w:val="sr-Cyrl-RS"/>
        </w:rPr>
        <w:t>Ова методологија</w:t>
      </w:r>
      <w:r w:rsidR="00382BB5">
        <w:rPr>
          <w:rFonts w:asciiTheme="minorHAnsi" w:hAnsiTheme="minorHAnsi" w:cstheme="minorHAnsi"/>
          <w:sz w:val="22"/>
          <w:lang w:val="sr-Cyrl-RS"/>
        </w:rPr>
        <w:t>, дакле,</w:t>
      </w:r>
      <w:r w:rsidRPr="00023B66">
        <w:rPr>
          <w:rFonts w:asciiTheme="minorHAnsi" w:hAnsiTheme="minorHAnsi" w:cstheme="minorHAnsi"/>
          <w:sz w:val="22"/>
          <w:lang w:val="sr-Cyrl-RS"/>
        </w:rPr>
        <w:t xml:space="preserve"> развијена је да би се</w:t>
      </w:r>
      <w:r w:rsidR="00023B66" w:rsidRPr="00023B66">
        <w:rPr>
          <w:rFonts w:asciiTheme="minorHAnsi" w:hAnsiTheme="minorHAnsi" w:cstheme="minorHAnsi"/>
          <w:sz w:val="22"/>
          <w:lang w:val="sr-Cyrl-RS"/>
        </w:rPr>
        <w:t xml:space="preserve"> адекватно</w:t>
      </w:r>
      <w:r w:rsidRPr="00023B66">
        <w:rPr>
          <w:rFonts w:asciiTheme="minorHAnsi" w:hAnsiTheme="minorHAnsi" w:cstheme="minorHAnsi"/>
          <w:sz w:val="22"/>
          <w:lang w:val="sr-Cyrl-RS"/>
        </w:rPr>
        <w:t xml:space="preserve"> </w:t>
      </w:r>
      <w:r w:rsidR="00023B66" w:rsidRPr="00023B66">
        <w:rPr>
          <w:rFonts w:asciiTheme="minorHAnsi" w:hAnsiTheme="minorHAnsi" w:cstheme="minorHAnsi"/>
          <w:sz w:val="22"/>
          <w:lang w:val="sr-Cyrl-RS"/>
        </w:rPr>
        <w:t>оценио</w:t>
      </w:r>
      <w:r w:rsidR="003B587F" w:rsidRPr="00023B66">
        <w:rPr>
          <w:rFonts w:asciiTheme="minorHAnsi" w:hAnsiTheme="minorHAnsi" w:cstheme="minorHAnsi"/>
          <w:sz w:val="22"/>
          <w:lang w:val="ru-RU"/>
        </w:rPr>
        <w:t xml:space="preserve"> </w:t>
      </w:r>
      <w:r w:rsidR="003B587F" w:rsidRPr="00023B66">
        <w:rPr>
          <w:rFonts w:asciiTheme="minorHAnsi" w:hAnsiTheme="minorHAnsi" w:cstheme="minorHAnsi"/>
          <w:sz w:val="22"/>
          <w:lang w:val="sr-Cyrl-RS"/>
        </w:rPr>
        <w:t>ниво корпоративног управљања у локалним јавним предузећима</w:t>
      </w:r>
      <w:r w:rsidRPr="00023B66">
        <w:rPr>
          <w:rFonts w:asciiTheme="minorHAnsi" w:hAnsiTheme="minorHAnsi" w:cstheme="minorHAnsi"/>
          <w:sz w:val="22"/>
          <w:lang w:val="sr-Cyrl-RS"/>
        </w:rPr>
        <w:t>.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</w:p>
    <w:p w14:paraId="4FD21718" w14:textId="49CCE35D" w:rsidR="003B587F" w:rsidRPr="00955252" w:rsidRDefault="003B587F" w:rsidP="00955252">
      <w:pPr>
        <w:spacing w:after="0" w:line="276" w:lineRule="auto"/>
        <w:jc w:val="both"/>
        <w:rPr>
          <w:rFonts w:asciiTheme="minorHAnsi" w:hAnsiTheme="minorHAnsi" w:cstheme="minorHAnsi"/>
          <w:sz w:val="22"/>
          <w:lang w:val="sr-Cyrl-RS"/>
        </w:rPr>
      </w:pPr>
    </w:p>
    <w:p w14:paraId="317179E6" w14:textId="39D3136B" w:rsidR="003B587F" w:rsidRPr="001B715E" w:rsidRDefault="003B587F" w:rsidP="001B715E">
      <w:pPr>
        <w:pStyle w:val="Heading2"/>
        <w:numPr>
          <w:ilvl w:val="1"/>
          <w:numId w:val="2"/>
        </w:numPr>
        <w:rPr>
          <w:b/>
          <w:color w:val="64A9D0"/>
          <w:lang w:val="sr-Cyrl-RS"/>
        </w:rPr>
      </w:pPr>
      <w:bookmarkStart w:id="3" w:name="_Toc15457604"/>
      <w:bookmarkStart w:id="4" w:name="_Toc15457662"/>
      <w:r w:rsidRPr="001B715E">
        <w:rPr>
          <w:b/>
          <w:color w:val="64A9D0"/>
          <w:lang w:val="sr-Cyrl-RS"/>
        </w:rPr>
        <w:t>Мерење нивоа корпоративног управљања у локалним јавним предузећима</w:t>
      </w:r>
      <w:bookmarkEnd w:id="3"/>
      <w:bookmarkEnd w:id="4"/>
    </w:p>
    <w:p w14:paraId="6F85C520" w14:textId="79E84B84" w:rsidR="003B587F" w:rsidRPr="00955252" w:rsidRDefault="003B587F" w:rsidP="00955252">
      <w:pPr>
        <w:spacing w:after="0" w:line="276" w:lineRule="auto"/>
        <w:jc w:val="both"/>
        <w:rPr>
          <w:rFonts w:asciiTheme="minorHAnsi" w:hAnsiTheme="minorHAnsi" w:cstheme="minorHAnsi"/>
          <w:sz w:val="22"/>
          <w:lang w:val="sr-Cyrl-RS"/>
        </w:rPr>
      </w:pPr>
    </w:p>
    <w:p w14:paraId="5FA6008F" w14:textId="00D3B07A" w:rsidR="003B587F" w:rsidRDefault="003B587F" w:rsidP="00955252">
      <w:pPr>
        <w:spacing w:after="0" w:line="276" w:lineRule="auto"/>
        <w:jc w:val="both"/>
        <w:rPr>
          <w:rFonts w:asciiTheme="minorHAnsi" w:hAnsiTheme="minorHAnsi" w:cstheme="minorHAnsi"/>
          <w:sz w:val="22"/>
          <w:lang w:val="sr-Cyrl-RS"/>
        </w:rPr>
      </w:pPr>
      <w:proofErr w:type="spellStart"/>
      <w:r w:rsidRPr="00955252">
        <w:rPr>
          <w:rFonts w:asciiTheme="minorHAnsi" w:hAnsiTheme="minorHAnsi" w:cstheme="minorHAnsi"/>
          <w:i/>
          <w:sz w:val="22"/>
          <w:lang w:val="sr-Cyrl-RS"/>
        </w:rPr>
        <w:t>Scorecard</w:t>
      </w:r>
      <w:proofErr w:type="spellEnd"/>
      <w:r w:rsidRPr="00955252">
        <w:rPr>
          <w:rFonts w:asciiTheme="minorHAnsi" w:hAnsiTheme="minorHAnsi" w:cstheme="minorHAnsi"/>
          <w:sz w:val="22"/>
          <w:lang w:val="sr-Cyrl-RS"/>
        </w:rPr>
        <w:t xml:space="preserve"> метода израђена је са циљем да се направи алат који ће омогућити квантитативно вредновање усклађености пословања локалних јавних предузећа са принципима добре праксе корпоративног управљања. 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Поред наведеног, резултати ове </w:t>
      </w:r>
      <w:r w:rsidR="00473460">
        <w:rPr>
          <w:rFonts w:asciiTheme="minorHAnsi" w:hAnsiTheme="minorHAnsi" w:cstheme="minorHAnsi"/>
          <w:sz w:val="22"/>
          <w:lang w:val="sr-Cyrl-RS"/>
        </w:rPr>
        <w:t>анализе</w:t>
      </w:r>
      <w:r w:rsidR="00473460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омогућиће јединицама локалне самоуправе да на </w:t>
      </w:r>
      <w:r w:rsidR="0094371C">
        <w:rPr>
          <w:rFonts w:asciiTheme="minorHAnsi" w:hAnsiTheme="minorHAnsi" w:cstheme="minorHAnsi"/>
          <w:sz w:val="22"/>
          <w:lang w:val="sr-Cyrl-RS"/>
        </w:rPr>
        <w:t>једноставан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начин процене ниво корпоративног управљања у предузећима чији </w:t>
      </w:r>
      <w:r w:rsidR="0094371C">
        <w:rPr>
          <w:rFonts w:asciiTheme="minorHAnsi" w:hAnsiTheme="minorHAnsi" w:cstheme="minorHAnsi"/>
          <w:sz w:val="22"/>
          <w:lang w:val="sr-Cyrl-RS"/>
        </w:rPr>
        <w:t>су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оснивач</w:t>
      </w:r>
      <w:r w:rsidR="0094371C">
        <w:rPr>
          <w:rFonts w:asciiTheme="minorHAnsi" w:hAnsiTheme="minorHAnsi" w:cstheme="minorHAnsi"/>
          <w:sz w:val="22"/>
          <w:lang w:val="sr-Cyrl-RS"/>
        </w:rPr>
        <w:t>и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и </w:t>
      </w:r>
      <w:r w:rsidR="0094371C">
        <w:rPr>
          <w:rFonts w:asciiTheme="minorHAnsi" w:hAnsiTheme="minorHAnsi" w:cstheme="minorHAnsi"/>
          <w:sz w:val="22"/>
          <w:lang w:val="sr-Cyrl-RS"/>
        </w:rPr>
        <w:t xml:space="preserve">да се 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на основу тога </w:t>
      </w:r>
      <w:r w:rsidR="0094371C">
        <w:rPr>
          <w:rFonts w:asciiTheme="minorHAnsi" w:hAnsiTheme="minorHAnsi" w:cstheme="minorHAnsi"/>
          <w:sz w:val="22"/>
          <w:lang w:val="sr-Cyrl-RS"/>
        </w:rPr>
        <w:t>определе за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даље активности </w:t>
      </w:r>
      <w:r w:rsidR="0094371C">
        <w:rPr>
          <w:rFonts w:asciiTheme="minorHAnsi" w:hAnsiTheme="minorHAnsi" w:cstheme="minorHAnsi"/>
          <w:sz w:val="22"/>
          <w:lang w:val="sr-Cyrl-RS"/>
        </w:rPr>
        <w:t>како би затечено стање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унапре</w:t>
      </w:r>
      <w:r w:rsidR="0094371C">
        <w:rPr>
          <w:rFonts w:asciiTheme="minorHAnsi" w:hAnsiTheme="minorHAnsi" w:cstheme="minorHAnsi"/>
          <w:sz w:val="22"/>
          <w:lang w:val="sr-Cyrl-RS"/>
        </w:rPr>
        <w:t>диле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>. Како је реч о квантитативној</w:t>
      </w:r>
      <w:r w:rsidR="0094371C">
        <w:rPr>
          <w:rFonts w:asciiTheme="minorHAnsi" w:hAnsiTheme="minorHAnsi" w:cstheme="minorHAnsi"/>
          <w:sz w:val="22"/>
          <w:lang w:val="sr-Cyrl-RS"/>
        </w:rPr>
        <w:t>, објективној и стандардизованој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методи, једна од </w:t>
      </w:r>
      <w:r w:rsidR="00423F05">
        <w:rPr>
          <w:rFonts w:asciiTheme="minorHAnsi" w:hAnsiTheme="minorHAnsi" w:cstheme="minorHAnsi"/>
          <w:sz w:val="22"/>
          <w:lang w:val="sr-Cyrl-RS"/>
        </w:rPr>
        <w:t xml:space="preserve">њених 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предности је могућност поређења нивоа корпоративног управљања између предузећа у </w:t>
      </w:r>
      <w:r w:rsidR="0094371C">
        <w:rPr>
          <w:rFonts w:asciiTheme="minorHAnsi" w:hAnsiTheme="minorHAnsi" w:cstheme="minorHAnsi"/>
          <w:sz w:val="22"/>
          <w:lang w:val="sr-Cyrl-RS"/>
        </w:rPr>
        <w:t xml:space="preserve">самој 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локалној самоуправи, као и поређење локалних јавних предузећа из исте делатности у Републици Србији. </w:t>
      </w:r>
    </w:p>
    <w:p w14:paraId="2A3730C2" w14:textId="77777777" w:rsidR="00955252" w:rsidRPr="00955252" w:rsidRDefault="00955252" w:rsidP="00955252">
      <w:pPr>
        <w:spacing w:after="0" w:line="276" w:lineRule="auto"/>
        <w:jc w:val="both"/>
        <w:rPr>
          <w:rFonts w:asciiTheme="minorHAnsi" w:hAnsiTheme="minorHAnsi" w:cstheme="minorHAnsi"/>
          <w:sz w:val="22"/>
          <w:lang w:val="sr-Cyrl-RS"/>
        </w:rPr>
      </w:pPr>
    </w:p>
    <w:p w14:paraId="2C776B6D" w14:textId="5BF18CB8" w:rsidR="00955252" w:rsidRPr="00955252" w:rsidRDefault="005A3510" w:rsidP="00C46B29">
      <w:pPr>
        <w:spacing w:after="120" w:line="276" w:lineRule="auto"/>
        <w:jc w:val="both"/>
        <w:rPr>
          <w:rFonts w:asciiTheme="minorHAnsi" w:hAnsiTheme="minorHAnsi" w:cstheme="minorHAnsi"/>
          <w:sz w:val="22"/>
          <w:lang w:val="sr-Cyrl-RS"/>
        </w:rPr>
      </w:pPr>
      <w:r w:rsidRPr="00955252">
        <w:rPr>
          <w:rFonts w:asciiTheme="minorHAnsi" w:hAnsiTheme="minorHAnsi" w:cstheme="minorHAnsi"/>
          <w:sz w:val="22"/>
          <w:lang w:val="sr-Cyrl-RS"/>
        </w:rPr>
        <w:t>Структуру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proofErr w:type="spellStart"/>
      <w:r w:rsidRPr="00955252">
        <w:rPr>
          <w:rFonts w:asciiTheme="minorHAnsi" w:hAnsiTheme="minorHAnsi" w:cstheme="minorHAnsi"/>
          <w:i/>
          <w:sz w:val="22"/>
          <w:lang w:val="sr-Cyrl-RS"/>
        </w:rPr>
        <w:t>scorecard</w:t>
      </w:r>
      <w:proofErr w:type="spellEnd"/>
      <w:r w:rsidR="008E0EFA" w:rsidRPr="00955252">
        <w:rPr>
          <w:rFonts w:asciiTheme="minorHAnsi" w:hAnsiTheme="minorHAnsi" w:cstheme="minorHAnsi"/>
          <w:sz w:val="22"/>
          <w:lang w:val="sr-Cyrl-RS"/>
        </w:rPr>
        <w:t>-</w:t>
      </w:r>
      <w:r w:rsidRPr="00955252">
        <w:rPr>
          <w:rFonts w:asciiTheme="minorHAnsi" w:hAnsiTheme="minorHAnsi" w:cstheme="minorHAnsi"/>
          <w:sz w:val="22"/>
          <w:lang w:val="sr-Cyrl-RS"/>
        </w:rPr>
        <w:t>а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чине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главни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критеријуми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засновани на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принципима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и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препорукама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најбоље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праксе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корпоративног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управљања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коју је развила Међународна финансијска корпорација (</w:t>
      </w:r>
      <w:r w:rsidRPr="00955252">
        <w:rPr>
          <w:rFonts w:asciiTheme="minorHAnsi" w:hAnsiTheme="minorHAnsi" w:cstheme="minorHAnsi"/>
          <w:i/>
          <w:sz w:val="22"/>
          <w:lang w:val="en-GB"/>
        </w:rPr>
        <w:t>International</w:t>
      </w:r>
      <w:r w:rsidRPr="00955252">
        <w:rPr>
          <w:rFonts w:asciiTheme="minorHAnsi" w:hAnsiTheme="minorHAnsi" w:cstheme="minorHAnsi"/>
          <w:i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i/>
          <w:sz w:val="22"/>
          <w:lang w:val="en-GB"/>
        </w:rPr>
        <w:t>Finance</w:t>
      </w:r>
      <w:r w:rsidRPr="00955252">
        <w:rPr>
          <w:rFonts w:asciiTheme="minorHAnsi" w:hAnsiTheme="minorHAnsi" w:cstheme="minorHAnsi"/>
          <w:i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i/>
          <w:sz w:val="22"/>
          <w:lang w:val="en-GB"/>
        </w:rPr>
        <w:t>Corporation</w:t>
      </w:r>
      <w:r w:rsidRPr="00955252">
        <w:rPr>
          <w:rFonts w:asciiTheme="minorHAnsi" w:hAnsiTheme="minorHAnsi" w:cstheme="minorHAnsi"/>
          <w:i/>
          <w:sz w:val="22"/>
          <w:lang w:val="sr-Cyrl-RS"/>
        </w:rPr>
        <w:t xml:space="preserve"> – </w:t>
      </w:r>
      <w:r w:rsidRPr="00955252">
        <w:rPr>
          <w:rFonts w:asciiTheme="minorHAnsi" w:hAnsiTheme="minorHAnsi" w:cstheme="minorHAnsi"/>
          <w:i/>
          <w:sz w:val="22"/>
          <w:lang w:val="en-GB"/>
        </w:rPr>
        <w:t>IFC</w:t>
      </w:r>
      <w:r w:rsidRPr="00955252">
        <w:rPr>
          <w:rFonts w:asciiTheme="minorHAnsi" w:hAnsiTheme="minorHAnsi" w:cstheme="minorHAnsi"/>
          <w:sz w:val="22"/>
        </w:rPr>
        <w:t xml:space="preserve">), 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уз одређене модификације ради </w:t>
      </w:r>
      <w:r w:rsidRPr="00955252">
        <w:rPr>
          <w:rFonts w:asciiTheme="minorHAnsi" w:hAnsiTheme="minorHAnsi" w:cstheme="minorHAnsi"/>
          <w:sz w:val="22"/>
          <w:lang w:val="sr-Cyrl-RS"/>
        </w:rPr>
        <w:lastRenderedPageBreak/>
        <w:t>препознавања свих специфичности пословања локалних јавних предузећа.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Критеријуми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су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систематизовани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по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областима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, </w:t>
      </w:r>
      <w:r w:rsidRPr="00955252">
        <w:rPr>
          <w:rFonts w:asciiTheme="minorHAnsi" w:hAnsiTheme="minorHAnsi" w:cstheme="minorHAnsi"/>
          <w:sz w:val="22"/>
          <w:lang w:val="sr-Cyrl-RS"/>
        </w:rPr>
        <w:t>са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релевантним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сетом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питањима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за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сваку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област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. </w:t>
      </w:r>
      <w:proofErr w:type="spellStart"/>
      <w:r w:rsidRPr="00955252">
        <w:rPr>
          <w:rFonts w:asciiTheme="minorHAnsi" w:hAnsiTheme="minorHAnsi" w:cstheme="minorHAnsi"/>
          <w:i/>
          <w:sz w:val="22"/>
          <w:lang w:val="sr-Cyrl-RS"/>
        </w:rPr>
        <w:t>Scorecard</w:t>
      </w:r>
      <w:proofErr w:type="spellEnd"/>
      <w:r w:rsidR="008E0EFA" w:rsidRPr="00955252">
        <w:rPr>
          <w:rFonts w:asciiTheme="minorHAnsi" w:hAnsiTheme="minorHAnsi" w:cstheme="minorHAnsi"/>
          <w:sz w:val="22"/>
          <w:lang w:val="sr-Cyrl-RS"/>
        </w:rPr>
        <w:t>-</w:t>
      </w:r>
      <w:r w:rsidRPr="00955252">
        <w:rPr>
          <w:rFonts w:asciiTheme="minorHAnsi" w:hAnsiTheme="minorHAnsi" w:cstheme="minorHAnsi"/>
          <w:sz w:val="22"/>
          <w:lang w:val="sr-Cyrl-RS"/>
        </w:rPr>
        <w:t>ом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је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обухваћено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шест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области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>:</w:t>
      </w:r>
    </w:p>
    <w:p w14:paraId="5AA139FF" w14:textId="2B2F7ACB" w:rsidR="008E0EFA" w:rsidRPr="00955252" w:rsidRDefault="005A3510" w:rsidP="00C46B29">
      <w:pPr>
        <w:spacing w:after="0" w:line="276" w:lineRule="auto"/>
        <w:ind w:left="1134" w:hanging="567"/>
        <w:jc w:val="both"/>
        <w:rPr>
          <w:rFonts w:asciiTheme="minorHAnsi" w:hAnsiTheme="minorHAnsi" w:cstheme="minorHAnsi"/>
          <w:sz w:val="22"/>
          <w:lang w:val="sr-Cyrl-RS"/>
        </w:rPr>
      </w:pPr>
      <w:r w:rsidRPr="00955252">
        <w:rPr>
          <w:rFonts w:asciiTheme="minorHAnsi" w:hAnsiTheme="minorHAnsi" w:cstheme="minorHAnsi"/>
          <w:sz w:val="22"/>
        </w:rPr>
        <w:t>I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ab/>
      </w:r>
      <w:r w:rsidRPr="00955252">
        <w:rPr>
          <w:rFonts w:asciiTheme="minorHAnsi" w:hAnsiTheme="minorHAnsi" w:cstheme="minorHAnsi"/>
          <w:sz w:val="22"/>
          <w:lang w:val="sr-Cyrl-RS"/>
        </w:rPr>
        <w:t>Посвећеност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принципима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корпоративног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управљања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и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друштвена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одговорност</w:t>
      </w:r>
    </w:p>
    <w:p w14:paraId="763AC3D3" w14:textId="053A18CA" w:rsidR="008E0EFA" w:rsidRPr="00955252" w:rsidRDefault="005A3510" w:rsidP="00C46B29">
      <w:pPr>
        <w:spacing w:after="0" w:line="276" w:lineRule="auto"/>
        <w:ind w:left="1134" w:hanging="567"/>
        <w:jc w:val="both"/>
        <w:rPr>
          <w:rFonts w:asciiTheme="minorHAnsi" w:hAnsiTheme="minorHAnsi" w:cstheme="minorHAnsi"/>
          <w:sz w:val="22"/>
          <w:lang w:val="sr-Cyrl-RS"/>
        </w:rPr>
      </w:pPr>
      <w:r w:rsidRPr="00955252">
        <w:rPr>
          <w:rFonts w:asciiTheme="minorHAnsi" w:hAnsiTheme="minorHAnsi" w:cstheme="minorHAnsi"/>
          <w:sz w:val="22"/>
        </w:rPr>
        <w:t>II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ab/>
      </w:r>
      <w:r w:rsidRPr="00955252">
        <w:rPr>
          <w:rFonts w:asciiTheme="minorHAnsi" w:hAnsiTheme="minorHAnsi" w:cstheme="minorHAnsi"/>
          <w:sz w:val="22"/>
          <w:lang w:val="sr-Cyrl-RS"/>
        </w:rPr>
        <w:t>Локална самоуправа - Оснивач</w:t>
      </w:r>
    </w:p>
    <w:p w14:paraId="47776DD6" w14:textId="5BDFE894" w:rsidR="008E0EFA" w:rsidRPr="00955252" w:rsidRDefault="005A3510" w:rsidP="00C46B29">
      <w:pPr>
        <w:spacing w:after="0" w:line="276" w:lineRule="auto"/>
        <w:ind w:left="1134" w:hanging="567"/>
        <w:jc w:val="both"/>
        <w:rPr>
          <w:rFonts w:asciiTheme="minorHAnsi" w:hAnsiTheme="minorHAnsi" w:cstheme="minorHAnsi"/>
          <w:sz w:val="22"/>
          <w:lang w:val="sr-Cyrl-RS"/>
        </w:rPr>
      </w:pPr>
      <w:r w:rsidRPr="00955252">
        <w:rPr>
          <w:rFonts w:asciiTheme="minorHAnsi" w:hAnsiTheme="minorHAnsi" w:cstheme="minorHAnsi"/>
          <w:sz w:val="22"/>
        </w:rPr>
        <w:t>III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ab/>
      </w:r>
      <w:r w:rsidRPr="00955252">
        <w:rPr>
          <w:rFonts w:asciiTheme="minorHAnsi" w:hAnsiTheme="minorHAnsi" w:cstheme="minorHAnsi"/>
          <w:sz w:val="22"/>
          <w:lang w:val="sr-Cyrl-RS"/>
        </w:rPr>
        <w:t>Надзорни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одбор</w:t>
      </w:r>
    </w:p>
    <w:p w14:paraId="4BBD9211" w14:textId="058CB3EF" w:rsidR="008E0EFA" w:rsidRPr="00955252" w:rsidRDefault="005A3510" w:rsidP="00C46B29">
      <w:pPr>
        <w:spacing w:after="0" w:line="276" w:lineRule="auto"/>
        <w:ind w:left="1134" w:hanging="567"/>
        <w:jc w:val="both"/>
        <w:rPr>
          <w:rFonts w:asciiTheme="minorHAnsi" w:hAnsiTheme="minorHAnsi" w:cstheme="minorHAnsi"/>
          <w:sz w:val="22"/>
          <w:lang w:val="sr-Cyrl-RS"/>
        </w:rPr>
      </w:pPr>
      <w:r w:rsidRPr="00955252">
        <w:rPr>
          <w:rFonts w:asciiTheme="minorHAnsi" w:hAnsiTheme="minorHAnsi" w:cstheme="minorHAnsi"/>
          <w:sz w:val="22"/>
        </w:rPr>
        <w:t>IV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ab/>
      </w:r>
      <w:r w:rsidRPr="00955252">
        <w:rPr>
          <w:rFonts w:asciiTheme="minorHAnsi" w:hAnsiTheme="minorHAnsi" w:cstheme="minorHAnsi"/>
          <w:sz w:val="22"/>
          <w:lang w:val="sr-Cyrl-RS"/>
        </w:rPr>
        <w:t>Извршни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органи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локалног јавног предузећа</w:t>
      </w:r>
    </w:p>
    <w:p w14:paraId="42998286" w14:textId="15A010F4" w:rsidR="008E0EFA" w:rsidRPr="00955252" w:rsidRDefault="005A3510" w:rsidP="00C46B29">
      <w:pPr>
        <w:spacing w:after="0" w:line="276" w:lineRule="auto"/>
        <w:ind w:left="1134" w:hanging="567"/>
        <w:jc w:val="both"/>
        <w:rPr>
          <w:rFonts w:asciiTheme="minorHAnsi" w:hAnsiTheme="minorHAnsi" w:cstheme="minorHAnsi"/>
          <w:sz w:val="22"/>
          <w:lang w:val="sr-Cyrl-RS"/>
        </w:rPr>
      </w:pPr>
      <w:r w:rsidRPr="00955252">
        <w:rPr>
          <w:rFonts w:asciiTheme="minorHAnsi" w:hAnsiTheme="minorHAnsi" w:cstheme="minorHAnsi"/>
          <w:sz w:val="22"/>
        </w:rPr>
        <w:t>V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ab/>
      </w:r>
      <w:r w:rsidRPr="00955252">
        <w:rPr>
          <w:rFonts w:asciiTheme="minorHAnsi" w:hAnsiTheme="minorHAnsi" w:cstheme="minorHAnsi"/>
          <w:sz w:val="22"/>
          <w:lang w:val="sr-Cyrl-RS"/>
        </w:rPr>
        <w:t>Послови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надзора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, </w:t>
      </w:r>
      <w:r w:rsidRPr="00955252">
        <w:rPr>
          <w:rFonts w:asciiTheme="minorHAnsi" w:hAnsiTheme="minorHAnsi" w:cstheme="minorHAnsi"/>
          <w:sz w:val="22"/>
          <w:lang w:val="sr-Cyrl-RS"/>
        </w:rPr>
        <w:t>контроле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и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екстерне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ревизије</w:t>
      </w:r>
    </w:p>
    <w:p w14:paraId="16311B2F" w14:textId="1947DED0" w:rsidR="008E0EFA" w:rsidRPr="00955252" w:rsidRDefault="005A3510" w:rsidP="00C46B29">
      <w:pPr>
        <w:spacing w:after="0" w:line="276" w:lineRule="auto"/>
        <w:ind w:left="1134" w:hanging="567"/>
        <w:jc w:val="both"/>
        <w:rPr>
          <w:rFonts w:asciiTheme="minorHAnsi" w:hAnsiTheme="minorHAnsi" w:cstheme="minorHAnsi"/>
          <w:sz w:val="22"/>
          <w:lang w:val="sr-Cyrl-RS"/>
        </w:rPr>
      </w:pPr>
      <w:r w:rsidRPr="00955252">
        <w:rPr>
          <w:rFonts w:asciiTheme="minorHAnsi" w:hAnsiTheme="minorHAnsi" w:cstheme="minorHAnsi"/>
          <w:sz w:val="22"/>
        </w:rPr>
        <w:t>VI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ab/>
      </w:r>
      <w:r w:rsidRPr="00955252">
        <w:rPr>
          <w:rFonts w:asciiTheme="minorHAnsi" w:hAnsiTheme="minorHAnsi" w:cstheme="minorHAnsi"/>
          <w:sz w:val="22"/>
          <w:lang w:val="sr-Cyrl-RS"/>
        </w:rPr>
        <w:t>Транспарентност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и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јавност</w:t>
      </w:r>
      <w:r w:rsidR="008E0EFA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955252">
        <w:rPr>
          <w:rFonts w:asciiTheme="minorHAnsi" w:hAnsiTheme="minorHAnsi" w:cstheme="minorHAnsi"/>
          <w:sz w:val="22"/>
          <w:lang w:val="sr-Cyrl-RS"/>
        </w:rPr>
        <w:t>пословања</w:t>
      </w:r>
    </w:p>
    <w:p w14:paraId="753BA1F5" w14:textId="77777777" w:rsidR="00955252" w:rsidRPr="00955252" w:rsidRDefault="00955252" w:rsidP="00955252">
      <w:pPr>
        <w:spacing w:after="0" w:line="276" w:lineRule="auto"/>
        <w:ind w:left="567" w:hanging="567"/>
        <w:jc w:val="both"/>
        <w:rPr>
          <w:rFonts w:asciiTheme="minorHAnsi" w:hAnsiTheme="minorHAnsi" w:cstheme="minorHAnsi"/>
          <w:sz w:val="22"/>
          <w:lang w:val="sr-Cyrl-RS"/>
        </w:rPr>
      </w:pPr>
    </w:p>
    <w:p w14:paraId="7760211C" w14:textId="338BC65F" w:rsidR="005A3510" w:rsidRPr="001B715E" w:rsidRDefault="00955252" w:rsidP="001B715E">
      <w:pPr>
        <w:pStyle w:val="Heading2"/>
        <w:numPr>
          <w:ilvl w:val="1"/>
          <w:numId w:val="2"/>
        </w:numPr>
        <w:rPr>
          <w:b/>
          <w:color w:val="64A9D0"/>
          <w:lang w:val="sr-Cyrl-RS"/>
        </w:rPr>
      </w:pPr>
      <w:bookmarkStart w:id="5" w:name="_Toc15457605"/>
      <w:bookmarkStart w:id="6" w:name="_Toc15457663"/>
      <w:r w:rsidRPr="001B715E">
        <w:rPr>
          <w:b/>
          <w:color w:val="64A9D0"/>
          <w:lang w:val="sr-Cyrl-RS"/>
        </w:rPr>
        <w:t xml:space="preserve">Методологија </w:t>
      </w:r>
      <w:proofErr w:type="spellStart"/>
      <w:r w:rsidRPr="007862C9">
        <w:rPr>
          <w:b/>
          <w:i/>
          <w:color w:val="64A9D0"/>
          <w:lang w:val="sr-Cyrl-RS"/>
        </w:rPr>
        <w:t>scorecard</w:t>
      </w:r>
      <w:proofErr w:type="spellEnd"/>
      <w:r w:rsidRPr="001B715E">
        <w:rPr>
          <w:b/>
          <w:color w:val="64A9D0"/>
          <w:lang w:val="sr-Cyrl-RS"/>
        </w:rPr>
        <w:t>-а</w:t>
      </w:r>
      <w:bookmarkEnd w:id="5"/>
      <w:bookmarkEnd w:id="6"/>
    </w:p>
    <w:p w14:paraId="46A8AD8D" w14:textId="77777777" w:rsidR="00955252" w:rsidRDefault="00955252" w:rsidP="00955252">
      <w:pPr>
        <w:spacing w:after="0" w:line="276" w:lineRule="auto"/>
        <w:jc w:val="both"/>
        <w:rPr>
          <w:rFonts w:asciiTheme="minorHAnsi" w:hAnsiTheme="minorHAnsi" w:cstheme="minorHAnsi"/>
          <w:sz w:val="22"/>
          <w:lang w:val="hr-HR"/>
        </w:rPr>
      </w:pPr>
    </w:p>
    <w:p w14:paraId="32F545D3" w14:textId="4ACBA5B3" w:rsidR="00955252" w:rsidRPr="00540F95" w:rsidRDefault="00955252" w:rsidP="00955252">
      <w:pPr>
        <w:spacing w:after="0" w:line="276" w:lineRule="auto"/>
        <w:jc w:val="both"/>
        <w:rPr>
          <w:rFonts w:asciiTheme="minorHAnsi" w:hAnsiTheme="minorHAnsi" w:cstheme="minorHAnsi"/>
          <w:sz w:val="22"/>
          <w:lang w:val="sr-Cyrl-RS"/>
        </w:rPr>
      </w:pPr>
      <w:r>
        <w:rPr>
          <w:rFonts w:asciiTheme="minorHAnsi" w:hAnsiTheme="minorHAnsi" w:cstheme="minorHAnsi"/>
          <w:sz w:val="22"/>
          <w:lang w:val="sr-Cyrl-RS"/>
        </w:rPr>
        <w:t>Свака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поједина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област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proofErr w:type="spellStart"/>
      <w:r w:rsidRPr="007862C9">
        <w:rPr>
          <w:rFonts w:asciiTheme="minorHAnsi" w:hAnsiTheme="minorHAnsi" w:cstheme="minorHAnsi"/>
          <w:i/>
          <w:sz w:val="22"/>
          <w:lang w:val="sr-Cyrl-RS"/>
        </w:rPr>
        <w:t>scorecard</w:t>
      </w:r>
      <w:proofErr w:type="spellEnd"/>
      <w:r w:rsidRPr="00955252">
        <w:rPr>
          <w:rFonts w:asciiTheme="minorHAnsi" w:hAnsiTheme="minorHAnsi" w:cstheme="minorHAnsi"/>
          <w:sz w:val="22"/>
          <w:lang w:val="sr-Cyrl-RS"/>
        </w:rPr>
        <w:t>-</w:t>
      </w:r>
      <w:r>
        <w:rPr>
          <w:rFonts w:asciiTheme="minorHAnsi" w:hAnsiTheme="minorHAnsi" w:cstheme="minorHAnsi"/>
          <w:sz w:val="22"/>
          <w:lang w:val="sr-Cyrl-RS"/>
        </w:rPr>
        <w:t>а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носи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одређен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тежински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фактор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(</w:t>
      </w:r>
      <w:r>
        <w:rPr>
          <w:rFonts w:asciiTheme="minorHAnsi" w:hAnsiTheme="minorHAnsi" w:cstheme="minorHAnsi"/>
          <w:sz w:val="22"/>
          <w:lang w:val="sr-Cyrl-RS"/>
        </w:rPr>
        <w:t>појединачни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скор</w:t>
      </w:r>
      <w:r w:rsidRPr="00955252">
        <w:rPr>
          <w:rFonts w:asciiTheme="minorHAnsi" w:hAnsiTheme="minorHAnsi" w:cstheme="minorHAnsi"/>
          <w:sz w:val="22"/>
          <w:lang w:val="sr-Cyrl-RS"/>
        </w:rPr>
        <w:t>)</w:t>
      </w:r>
      <w:r w:rsidR="00566A2C">
        <w:rPr>
          <w:rFonts w:asciiTheme="minorHAnsi" w:hAnsiTheme="minorHAnsi" w:cstheme="minorHAnsi"/>
          <w:sz w:val="22"/>
          <w:lang w:val="sr-Cyrl-RS"/>
        </w:rPr>
        <w:t>, који је додељен на основу њеног релативног значаја</w:t>
      </w:r>
      <w:r w:rsidR="00741F44">
        <w:rPr>
          <w:rFonts w:asciiTheme="minorHAnsi" w:hAnsiTheme="minorHAnsi" w:cstheme="minorHAnsi"/>
          <w:sz w:val="22"/>
          <w:lang w:val="sr-Cyrl-RS"/>
        </w:rPr>
        <w:t>. С</w:t>
      </w:r>
      <w:r w:rsidR="00566A2C">
        <w:rPr>
          <w:rFonts w:asciiTheme="minorHAnsi" w:hAnsiTheme="minorHAnsi" w:cstheme="minorHAnsi"/>
          <w:sz w:val="22"/>
          <w:lang w:val="sr-Cyrl-RS"/>
        </w:rPr>
        <w:t xml:space="preserve">ве </w:t>
      </w:r>
      <w:r w:rsidR="00F4327E">
        <w:rPr>
          <w:rFonts w:asciiTheme="minorHAnsi" w:hAnsiTheme="minorHAnsi" w:cstheme="minorHAnsi"/>
          <w:sz w:val="22"/>
          <w:lang w:val="sr-Cyrl-RS"/>
        </w:rPr>
        <w:t xml:space="preserve">области </w:t>
      </w:r>
      <w:r w:rsidR="00566A2C">
        <w:rPr>
          <w:rFonts w:asciiTheme="minorHAnsi" w:hAnsiTheme="minorHAnsi" w:cstheme="minorHAnsi"/>
          <w:sz w:val="22"/>
          <w:lang w:val="sr-Cyrl-RS"/>
        </w:rPr>
        <w:t>заједно носе укупан скор од 100 посто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. </w:t>
      </w:r>
      <w:r>
        <w:rPr>
          <w:rFonts w:asciiTheme="minorHAnsi" w:hAnsiTheme="minorHAnsi" w:cstheme="minorHAnsi"/>
          <w:sz w:val="22"/>
          <w:lang w:val="sr-Cyrl-RS"/>
        </w:rPr>
        <w:t>У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оквиру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свих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шест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области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свако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питање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носи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свој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тежински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фактор</w:t>
      </w:r>
      <w:r w:rsidR="00566A2C">
        <w:rPr>
          <w:rFonts w:asciiTheme="minorHAnsi" w:hAnsiTheme="minorHAnsi" w:cstheme="minorHAnsi"/>
          <w:sz w:val="22"/>
          <w:lang w:val="sr-Cyrl-RS"/>
        </w:rPr>
        <w:t>, у складу са својим релативним значајем, а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који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се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израчунава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након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одговора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. </w:t>
      </w:r>
      <w:r w:rsidR="00566A2C">
        <w:rPr>
          <w:rFonts w:asciiTheme="minorHAnsi" w:hAnsiTheme="minorHAnsi" w:cstheme="minorHAnsi"/>
          <w:sz w:val="22"/>
          <w:lang w:val="sr-Cyrl-RS"/>
        </w:rPr>
        <w:t>Сва питања</w:t>
      </w:r>
      <w:r w:rsidR="00F4327E">
        <w:rPr>
          <w:rFonts w:asciiTheme="minorHAnsi" w:hAnsiTheme="minorHAnsi" w:cstheme="minorHAnsi"/>
          <w:sz w:val="22"/>
          <w:lang w:val="sr-Cyrl-RS"/>
        </w:rPr>
        <w:t>,</w:t>
      </w:r>
      <w:r w:rsidR="00566A2C">
        <w:rPr>
          <w:rFonts w:asciiTheme="minorHAnsi" w:hAnsiTheme="minorHAnsi" w:cstheme="minorHAnsi"/>
          <w:sz w:val="22"/>
          <w:lang w:val="sr-Cyrl-RS"/>
        </w:rPr>
        <w:t xml:space="preserve"> унутар сваке области</w:t>
      </w:r>
      <w:r w:rsidR="00F4327E">
        <w:rPr>
          <w:rFonts w:asciiTheme="minorHAnsi" w:hAnsiTheme="minorHAnsi" w:cstheme="minorHAnsi"/>
          <w:sz w:val="22"/>
          <w:lang w:val="sr-Cyrl-RS"/>
        </w:rPr>
        <w:t>,</w:t>
      </w:r>
      <w:r w:rsidR="00566A2C">
        <w:rPr>
          <w:rFonts w:asciiTheme="minorHAnsi" w:hAnsiTheme="minorHAnsi" w:cstheme="minorHAnsi"/>
          <w:sz w:val="22"/>
          <w:lang w:val="sr-Cyrl-RS"/>
        </w:rPr>
        <w:t xml:space="preserve"> заједно имају укупан скор од 100 посто за ту област. </w:t>
      </w:r>
      <w:r w:rsidR="00F4327E">
        <w:rPr>
          <w:rFonts w:asciiTheme="minorHAnsi" w:hAnsiTheme="minorHAnsi" w:cstheme="minorHAnsi"/>
          <w:sz w:val="22"/>
          <w:lang w:val="sr-Cyrl-RS"/>
        </w:rPr>
        <w:t>Даље, за свако питање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постоје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понуђен</w:t>
      </w:r>
      <w:r w:rsidR="00566A2C">
        <w:rPr>
          <w:rFonts w:asciiTheme="minorHAnsi" w:hAnsiTheme="minorHAnsi" w:cstheme="minorHAnsi"/>
          <w:sz w:val="22"/>
          <w:lang w:val="sr-Cyrl-RS"/>
        </w:rPr>
        <w:t>и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стандардн</w:t>
      </w:r>
      <w:r w:rsidR="00566A2C">
        <w:rPr>
          <w:rFonts w:asciiTheme="minorHAnsi" w:hAnsiTheme="minorHAnsi" w:cstheme="minorHAnsi"/>
          <w:sz w:val="22"/>
          <w:lang w:val="sr-Cyrl-RS"/>
        </w:rPr>
        <w:t>и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="00566A2C">
        <w:rPr>
          <w:rFonts w:asciiTheme="minorHAnsi" w:hAnsiTheme="minorHAnsi" w:cstheme="minorHAnsi"/>
          <w:sz w:val="22"/>
          <w:lang w:val="sr-Cyrl-RS"/>
        </w:rPr>
        <w:t>одговори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. </w:t>
      </w:r>
      <w:r w:rsidR="002119E5">
        <w:rPr>
          <w:rFonts w:asciiTheme="minorHAnsi" w:hAnsiTheme="minorHAnsi" w:cstheme="minorHAnsi"/>
          <w:sz w:val="22"/>
          <w:lang w:val="sr-Cyrl-RS"/>
        </w:rPr>
        <w:t>У пољу „Извори информација и коментари“, за свако појединачно питање, дате су смернице о</w:t>
      </w:r>
      <w:r w:rsidR="00065064">
        <w:rPr>
          <w:rFonts w:asciiTheme="minorHAnsi" w:hAnsiTheme="minorHAnsi" w:cstheme="minorHAnsi"/>
          <w:sz w:val="22"/>
          <w:lang w:val="sr-Cyrl-RS"/>
        </w:rPr>
        <w:t xml:space="preserve"> навођењу</w:t>
      </w:r>
      <w:r w:rsidR="002119E5">
        <w:rPr>
          <w:rFonts w:asciiTheme="minorHAnsi" w:hAnsiTheme="minorHAnsi" w:cstheme="minorHAnsi"/>
          <w:sz w:val="22"/>
          <w:lang w:val="sr-Cyrl-RS"/>
        </w:rPr>
        <w:t xml:space="preserve"> доказ</w:t>
      </w:r>
      <w:r w:rsidR="00065064">
        <w:rPr>
          <w:rFonts w:asciiTheme="minorHAnsi" w:hAnsiTheme="minorHAnsi" w:cstheme="minorHAnsi"/>
          <w:sz w:val="22"/>
          <w:lang w:val="sr-Cyrl-RS"/>
        </w:rPr>
        <w:t>а/извора на којима се одговори заснивају</w:t>
      </w:r>
      <w:r w:rsidR="002119E5">
        <w:rPr>
          <w:rFonts w:asciiTheme="minorHAnsi" w:hAnsiTheme="minorHAnsi" w:cstheme="minorHAnsi"/>
          <w:sz w:val="22"/>
          <w:lang w:val="sr-Cyrl-RS"/>
        </w:rPr>
        <w:t xml:space="preserve"> (и исте</w:t>
      </w:r>
      <w:r w:rsidR="00065064">
        <w:rPr>
          <w:rFonts w:asciiTheme="minorHAnsi" w:hAnsiTheme="minorHAnsi" w:cstheme="minorHAnsi"/>
          <w:sz w:val="22"/>
          <w:lang w:val="sr-Cyrl-RS"/>
        </w:rPr>
        <w:t xml:space="preserve"> је потребно</w:t>
      </w:r>
      <w:r w:rsidR="002119E5">
        <w:rPr>
          <w:rFonts w:asciiTheme="minorHAnsi" w:hAnsiTheme="minorHAnsi" w:cstheme="minorHAnsi"/>
          <w:sz w:val="22"/>
          <w:lang w:val="sr-Cyrl-RS"/>
        </w:rPr>
        <w:t xml:space="preserve"> презентовати </w:t>
      </w:r>
      <w:r w:rsidR="00566A2C">
        <w:rPr>
          <w:rFonts w:asciiTheme="minorHAnsi" w:hAnsiTheme="minorHAnsi" w:cstheme="minorHAnsi"/>
          <w:sz w:val="22"/>
          <w:lang w:val="sr-Cyrl-RS"/>
        </w:rPr>
        <w:t>оцењивачима</w:t>
      </w:r>
      <w:r w:rsidR="00823984">
        <w:rPr>
          <w:rFonts w:asciiTheme="minorHAnsi" w:hAnsiTheme="minorHAnsi" w:cstheme="minorHAnsi"/>
          <w:sz w:val="22"/>
          <w:lang w:val="sr-Cyrl-RS"/>
        </w:rPr>
        <w:t xml:space="preserve"> и које оцењивач чува у архиви</w:t>
      </w:r>
      <w:r w:rsidR="002119E5">
        <w:rPr>
          <w:rFonts w:asciiTheme="minorHAnsi" w:hAnsiTheme="minorHAnsi" w:cstheme="minorHAnsi"/>
          <w:sz w:val="22"/>
          <w:lang w:val="sr-Cyrl-RS"/>
        </w:rPr>
        <w:t>), као и</w:t>
      </w:r>
      <w:r w:rsidR="00065064">
        <w:rPr>
          <w:rFonts w:asciiTheme="minorHAnsi" w:hAnsiTheme="minorHAnsi" w:cstheme="minorHAnsi"/>
          <w:sz w:val="22"/>
          <w:lang w:val="sr-Cyrl-RS"/>
        </w:rPr>
        <w:t xml:space="preserve"> </w:t>
      </w:r>
      <w:r w:rsidR="00566A2C">
        <w:rPr>
          <w:rFonts w:asciiTheme="minorHAnsi" w:hAnsiTheme="minorHAnsi" w:cstheme="minorHAnsi"/>
          <w:sz w:val="22"/>
          <w:lang w:val="sr-Cyrl-RS"/>
        </w:rPr>
        <w:t xml:space="preserve">о </w:t>
      </w:r>
      <w:r w:rsidR="00065064">
        <w:rPr>
          <w:rFonts w:asciiTheme="minorHAnsi" w:hAnsiTheme="minorHAnsi" w:cstheme="minorHAnsi"/>
          <w:sz w:val="22"/>
          <w:lang w:val="sr-Cyrl-RS"/>
        </w:rPr>
        <w:t>потреби да се пружи додатно образложење о датим одговорима на поједина питања.</w:t>
      </w:r>
      <w:r w:rsidR="002119E5">
        <w:rPr>
          <w:rFonts w:asciiTheme="minorHAnsi" w:hAnsiTheme="minorHAnsi" w:cstheme="minorHAnsi"/>
          <w:sz w:val="22"/>
          <w:lang w:val="sr-Cyrl-RS"/>
        </w:rPr>
        <w:t xml:space="preserve"> </w:t>
      </w:r>
    </w:p>
    <w:p w14:paraId="7C289AC1" w14:textId="77777777" w:rsidR="00955252" w:rsidRPr="00955252" w:rsidRDefault="00955252" w:rsidP="00955252">
      <w:pPr>
        <w:spacing w:after="0" w:line="276" w:lineRule="auto"/>
        <w:jc w:val="both"/>
        <w:rPr>
          <w:rFonts w:asciiTheme="minorHAnsi" w:hAnsiTheme="minorHAnsi" w:cstheme="minorHAnsi"/>
          <w:sz w:val="22"/>
          <w:lang w:val="sr-Cyrl-RS"/>
        </w:rPr>
      </w:pPr>
    </w:p>
    <w:p w14:paraId="543B32FC" w14:textId="0B816C0E" w:rsidR="003B587F" w:rsidRPr="002119E5" w:rsidRDefault="00955252" w:rsidP="00A2187B">
      <w:pPr>
        <w:spacing w:after="0" w:line="276" w:lineRule="auto"/>
        <w:jc w:val="both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sz w:val="22"/>
          <w:lang w:val="sr-Cyrl-RS"/>
        </w:rPr>
        <w:t>Последњи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корак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је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израчунавање коначне оцене (</w:t>
      </w:r>
      <w:proofErr w:type="spellStart"/>
      <w:r w:rsidRPr="00955252">
        <w:rPr>
          <w:rFonts w:asciiTheme="minorHAnsi" w:hAnsiTheme="minorHAnsi" w:cstheme="minorHAnsi"/>
          <w:i/>
          <w:sz w:val="22"/>
          <w:lang w:val="sr-Cyrl-RS"/>
        </w:rPr>
        <w:t>total</w:t>
      </w:r>
      <w:proofErr w:type="spellEnd"/>
      <w:r w:rsidRPr="00955252">
        <w:rPr>
          <w:rFonts w:asciiTheme="minorHAnsi" w:hAnsiTheme="minorHAnsi" w:cstheme="minorHAnsi"/>
          <w:i/>
          <w:sz w:val="22"/>
          <w:lang w:val="sr-Cyrl-RS"/>
        </w:rPr>
        <w:t xml:space="preserve"> </w:t>
      </w:r>
      <w:proofErr w:type="spellStart"/>
      <w:r w:rsidRPr="00955252">
        <w:rPr>
          <w:rFonts w:asciiTheme="minorHAnsi" w:hAnsiTheme="minorHAnsi" w:cstheme="minorHAnsi"/>
          <w:i/>
          <w:sz w:val="22"/>
          <w:lang w:val="sr-Cyrl-RS"/>
        </w:rPr>
        <w:t>score</w:t>
      </w:r>
      <w:proofErr w:type="spellEnd"/>
      <w:r>
        <w:rPr>
          <w:rFonts w:asciiTheme="minorHAnsi" w:hAnsiTheme="minorHAnsi" w:cstheme="minorHAnsi"/>
          <w:sz w:val="22"/>
          <w:lang w:val="sr-Cyrl-RS"/>
        </w:rPr>
        <w:t>)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кој</w:t>
      </w:r>
      <w:r w:rsidR="00CC136B">
        <w:rPr>
          <w:rFonts w:asciiTheme="minorHAnsi" w:hAnsiTheme="minorHAnsi" w:cstheme="minorHAnsi"/>
          <w:sz w:val="22"/>
          <w:lang w:val="sr-Cyrl-RS"/>
        </w:rPr>
        <w:t>а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се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аутоматски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добија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сабирањем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свих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="00FD2251">
        <w:rPr>
          <w:rFonts w:asciiTheme="minorHAnsi" w:hAnsiTheme="minorHAnsi" w:cstheme="minorHAnsi"/>
          <w:sz w:val="22"/>
          <w:lang w:val="sr-Cyrl-RS"/>
        </w:rPr>
        <w:t>шест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појединачних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тежинских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фактора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и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приказује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у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делу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="00CC136B">
        <w:rPr>
          <w:rFonts w:asciiTheme="minorHAnsi" w:hAnsiTheme="minorHAnsi" w:cstheme="minorHAnsi"/>
          <w:sz w:val="22"/>
          <w:lang w:val="sr-Cyrl-RS"/>
        </w:rPr>
        <w:t>„</w:t>
      </w:r>
      <w:r>
        <w:rPr>
          <w:rFonts w:asciiTheme="minorHAnsi" w:hAnsiTheme="minorHAnsi" w:cstheme="minorHAnsi"/>
          <w:sz w:val="22"/>
          <w:lang w:val="sr-Cyrl-RS"/>
        </w:rPr>
        <w:t>коначна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оцена</w:t>
      </w:r>
      <w:r w:rsidR="00CC136B">
        <w:rPr>
          <w:rFonts w:asciiTheme="minorHAnsi" w:hAnsiTheme="minorHAnsi" w:cstheme="minorHAnsi"/>
          <w:sz w:val="22"/>
          <w:lang w:val="sr-Cyrl-RS"/>
        </w:rPr>
        <w:t>“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(</w:t>
      </w:r>
      <w:proofErr w:type="spellStart"/>
      <w:r w:rsidR="00AA046B" w:rsidRPr="00AA046B">
        <w:rPr>
          <w:rFonts w:asciiTheme="minorHAnsi" w:hAnsiTheme="minorHAnsi" w:cstheme="minorHAnsi"/>
          <w:i/>
          <w:sz w:val="22"/>
          <w:lang w:val="sr-Cyrl-RS"/>
        </w:rPr>
        <w:t>total</w:t>
      </w:r>
      <w:proofErr w:type="spellEnd"/>
      <w:r w:rsidR="00AA046B" w:rsidRPr="00AA046B">
        <w:rPr>
          <w:rFonts w:asciiTheme="minorHAnsi" w:hAnsiTheme="minorHAnsi" w:cstheme="minorHAnsi"/>
          <w:i/>
          <w:sz w:val="22"/>
          <w:lang w:val="sr-Cyrl-RS"/>
        </w:rPr>
        <w:t xml:space="preserve"> </w:t>
      </w:r>
      <w:proofErr w:type="spellStart"/>
      <w:r w:rsidR="00AA046B" w:rsidRPr="00AA046B">
        <w:rPr>
          <w:rFonts w:asciiTheme="minorHAnsi" w:hAnsiTheme="minorHAnsi" w:cstheme="minorHAnsi"/>
          <w:i/>
          <w:sz w:val="22"/>
          <w:lang w:val="sr-Cyrl-RS"/>
        </w:rPr>
        <w:t>score</w:t>
      </w:r>
      <w:proofErr w:type="spellEnd"/>
      <w:r w:rsidRPr="00955252">
        <w:rPr>
          <w:rFonts w:asciiTheme="minorHAnsi" w:hAnsiTheme="minorHAnsi" w:cstheme="minorHAnsi"/>
          <w:sz w:val="22"/>
          <w:lang w:val="sr-Cyrl-RS"/>
        </w:rPr>
        <w:t xml:space="preserve">). </w:t>
      </w:r>
      <w:r w:rsidR="00741F44">
        <w:rPr>
          <w:rFonts w:asciiTheme="minorHAnsi" w:hAnsiTheme="minorHAnsi" w:cstheme="minorHAnsi"/>
          <w:sz w:val="22"/>
          <w:lang w:val="sr-Cyrl-RS"/>
        </w:rPr>
        <w:t>Сабирањем</w:t>
      </w:r>
      <w:r w:rsidR="00741F44"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свих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области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добија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се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укупна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оцена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која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треба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да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понуди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слику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стања</w:t>
      </w:r>
      <w:r w:rsidR="00F43E34">
        <w:rPr>
          <w:rFonts w:asciiTheme="minorHAnsi" w:hAnsiTheme="minorHAnsi" w:cstheme="minorHAnsi"/>
          <w:sz w:val="22"/>
          <w:lang w:val="sr-Cyrl-RS"/>
        </w:rPr>
        <w:t xml:space="preserve"> односно оцену нивоа корпоративног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 w:rsidR="00AA046B">
        <w:rPr>
          <w:rFonts w:asciiTheme="minorHAnsi" w:hAnsiTheme="minorHAnsi" w:cstheme="minorHAnsi"/>
          <w:sz w:val="22"/>
          <w:lang w:val="sr-Cyrl-RS"/>
        </w:rPr>
        <w:t xml:space="preserve">управљања у локалном јавном предузећу </w:t>
      </w:r>
      <w:r w:rsidR="00F43E34">
        <w:rPr>
          <w:rFonts w:asciiTheme="minorHAnsi" w:hAnsiTheme="minorHAnsi" w:cstheme="minorHAnsi"/>
          <w:sz w:val="22"/>
          <w:lang w:val="sr-Cyrl-RS"/>
        </w:rPr>
        <w:t>коришћењем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добрих</w:t>
      </w:r>
      <w:r w:rsidRPr="00955252">
        <w:rPr>
          <w:rFonts w:asciiTheme="minorHAnsi" w:hAnsiTheme="minorHAnsi" w:cstheme="minorHAnsi"/>
          <w:sz w:val="22"/>
          <w:lang w:val="sr-Cyrl-RS"/>
        </w:rPr>
        <w:t xml:space="preserve"> </w:t>
      </w:r>
      <w:r>
        <w:rPr>
          <w:rFonts w:asciiTheme="minorHAnsi" w:hAnsiTheme="minorHAnsi" w:cstheme="minorHAnsi"/>
          <w:sz w:val="22"/>
          <w:lang w:val="sr-Cyrl-RS"/>
        </w:rPr>
        <w:t>пракси</w:t>
      </w:r>
      <w:r w:rsidR="00F43E34">
        <w:rPr>
          <w:rFonts w:asciiTheme="minorHAnsi" w:hAnsiTheme="minorHAnsi" w:cstheme="minorHAnsi"/>
          <w:sz w:val="22"/>
          <w:lang w:val="sr-Cyrl-RS"/>
        </w:rPr>
        <w:t xml:space="preserve"> као референтног оквира</w:t>
      </w:r>
      <w:r w:rsidR="00CC136B">
        <w:rPr>
          <w:rFonts w:asciiTheme="minorHAnsi" w:hAnsiTheme="minorHAnsi" w:cstheme="minorHAnsi"/>
          <w:sz w:val="22"/>
          <w:lang w:val="sr-Cyrl-RS"/>
        </w:rPr>
        <w:t xml:space="preserve"> за оцењивање</w:t>
      </w:r>
      <w:r w:rsidRPr="00955252">
        <w:rPr>
          <w:rFonts w:asciiTheme="minorHAnsi" w:hAnsiTheme="minorHAnsi" w:cstheme="minorHAnsi"/>
          <w:sz w:val="22"/>
          <w:lang w:val="sr-Cyrl-RS"/>
        </w:rPr>
        <w:t>.</w:t>
      </w:r>
      <w:r w:rsidR="00D5286F">
        <w:rPr>
          <w:rFonts w:asciiTheme="minorHAnsi" w:hAnsiTheme="minorHAnsi" w:cstheme="minorHAnsi"/>
          <w:sz w:val="22"/>
          <w:lang w:val="sr-Cyrl-RS"/>
        </w:rPr>
        <w:t xml:space="preserve"> </w:t>
      </w:r>
      <w:r w:rsidR="000C441A">
        <w:rPr>
          <w:rFonts w:asciiTheme="minorHAnsi" w:hAnsiTheme="minorHAnsi" w:cstheme="minorHAnsi"/>
          <w:sz w:val="22"/>
          <w:lang w:val="sr-Cyrl-RS"/>
        </w:rPr>
        <w:t>За обрачун коначне оцене неопходно је коришћење програма за табеларне калкулације (</w:t>
      </w:r>
      <w:r w:rsidR="000C441A">
        <w:rPr>
          <w:rFonts w:asciiTheme="minorHAnsi" w:hAnsiTheme="minorHAnsi" w:cstheme="minorHAnsi"/>
          <w:i/>
          <w:sz w:val="22"/>
        </w:rPr>
        <w:t>MS Excel</w:t>
      </w:r>
      <w:r w:rsidR="000C441A" w:rsidRPr="00D5286F">
        <w:rPr>
          <w:rFonts w:asciiTheme="minorHAnsi" w:hAnsiTheme="minorHAnsi" w:cstheme="minorHAnsi"/>
          <w:sz w:val="22"/>
        </w:rPr>
        <w:t>)</w:t>
      </w:r>
      <w:r w:rsidR="000C441A">
        <w:rPr>
          <w:rFonts w:asciiTheme="minorHAnsi" w:hAnsiTheme="minorHAnsi" w:cstheme="minorHAnsi"/>
          <w:sz w:val="22"/>
          <w:lang w:val="sr-Cyrl-RS"/>
        </w:rPr>
        <w:t xml:space="preserve">. Оцена за сваку област појединачно као и коначна оцена за свих шест области изражена је у процентима и тумачи се као проценат добрих праски корпоративног управљања које је конкретно преузеће усвојило. Тако на пример, резултат 46% би значио да је </w:t>
      </w:r>
      <w:r w:rsidR="008D6E49">
        <w:rPr>
          <w:rFonts w:asciiTheme="minorHAnsi" w:hAnsiTheme="minorHAnsi" w:cstheme="minorHAnsi"/>
          <w:sz w:val="22"/>
          <w:lang w:val="sr-Cyrl-RS"/>
        </w:rPr>
        <w:t>квалитет/</w:t>
      </w:r>
      <w:r w:rsidR="000C441A">
        <w:rPr>
          <w:rFonts w:asciiTheme="minorHAnsi" w:hAnsiTheme="minorHAnsi" w:cstheme="minorHAnsi"/>
          <w:sz w:val="22"/>
          <w:lang w:val="sr-Cyrl-RS"/>
        </w:rPr>
        <w:t>ниво корпоративног управљања у</w:t>
      </w:r>
      <w:r w:rsidR="008D6E49">
        <w:rPr>
          <w:rFonts w:asciiTheme="minorHAnsi" w:hAnsiTheme="minorHAnsi" w:cstheme="minorHAnsi"/>
          <w:sz w:val="22"/>
          <w:lang w:val="sr-Cyrl-RS"/>
        </w:rPr>
        <w:t xml:space="preserve"> том</w:t>
      </w:r>
      <w:r w:rsidR="000C441A">
        <w:rPr>
          <w:rFonts w:asciiTheme="minorHAnsi" w:hAnsiTheme="minorHAnsi" w:cstheme="minorHAnsi"/>
          <w:sz w:val="22"/>
          <w:lang w:val="sr-Cyrl-RS"/>
        </w:rPr>
        <w:t xml:space="preserve"> предузећу 46 од 100%</w:t>
      </w:r>
      <w:r w:rsidR="00CC136B">
        <w:rPr>
          <w:rFonts w:asciiTheme="minorHAnsi" w:hAnsiTheme="minorHAnsi" w:cstheme="minorHAnsi"/>
          <w:sz w:val="22"/>
          <w:lang w:val="sr-Cyrl-RS"/>
        </w:rPr>
        <w:t xml:space="preserve"> односно да је то предузеће усвојило 46 од 100% добрих пракси корпоративног управљања</w:t>
      </w:r>
      <w:r w:rsidR="000C441A">
        <w:rPr>
          <w:rFonts w:asciiTheme="minorHAnsi" w:hAnsiTheme="minorHAnsi" w:cstheme="minorHAnsi"/>
          <w:sz w:val="22"/>
          <w:lang w:val="sr-Cyrl-RS"/>
        </w:rPr>
        <w:t>. Оцене по појединачним областима ће указивати на области са којима предузеће има више или мање проблема што омогућава усмеравање напора и ограничених ресурса на највеће изазове. Напомињемо да би оцена од 100% значила да су најбоље праксе корпоративног управљања усвојене од стране локалног јавно</w:t>
      </w:r>
      <w:r w:rsidR="0098207B">
        <w:rPr>
          <w:rFonts w:asciiTheme="minorHAnsi" w:hAnsiTheme="minorHAnsi" w:cstheme="minorHAnsi"/>
          <w:sz w:val="22"/>
          <w:lang w:val="sr-Cyrl-RS"/>
        </w:rPr>
        <w:t>г</w:t>
      </w:r>
      <w:r w:rsidR="000C441A">
        <w:rPr>
          <w:rFonts w:asciiTheme="minorHAnsi" w:hAnsiTheme="minorHAnsi" w:cstheme="minorHAnsi"/>
          <w:sz w:val="22"/>
          <w:lang w:val="sr-Cyrl-RS"/>
        </w:rPr>
        <w:t xml:space="preserve"> предузећа и да је оно лидер у том погледу. У том смислу, оцена преко 50% се може сматрати задовољавајућим резултатом. </w:t>
      </w:r>
    </w:p>
    <w:p w14:paraId="18AEFB85" w14:textId="77777777" w:rsidR="003B587F" w:rsidRPr="003B587F" w:rsidRDefault="003B587F" w:rsidP="00A2187B">
      <w:pPr>
        <w:spacing w:after="0" w:line="276" w:lineRule="auto"/>
        <w:jc w:val="both"/>
        <w:rPr>
          <w:rFonts w:asciiTheme="minorHAnsi" w:hAnsiTheme="minorHAnsi" w:cstheme="minorHAnsi"/>
          <w:lang w:val="sr-Cyrl-RS"/>
        </w:rPr>
      </w:pPr>
    </w:p>
    <w:p w14:paraId="46FDEC67" w14:textId="77777777" w:rsidR="000C3943" w:rsidRPr="003B587F" w:rsidRDefault="000C3943" w:rsidP="000C3943">
      <w:pPr>
        <w:ind w:firstLine="708"/>
        <w:rPr>
          <w:rFonts w:asciiTheme="minorHAnsi" w:eastAsia="Times New Roman" w:hAnsiTheme="minorHAnsi" w:cstheme="minorHAnsi"/>
          <w:szCs w:val="20"/>
          <w:lang w:val="sr-Cyrl-RS" w:eastAsia="sr-Latn-RS"/>
        </w:rPr>
      </w:pPr>
    </w:p>
    <w:p w14:paraId="3BBAD669" w14:textId="09C04C32" w:rsidR="000C3943" w:rsidRPr="003B587F" w:rsidRDefault="000C3943" w:rsidP="000C3943">
      <w:pPr>
        <w:rPr>
          <w:rFonts w:asciiTheme="minorHAnsi" w:eastAsia="Times New Roman" w:hAnsiTheme="minorHAnsi" w:cstheme="minorHAnsi"/>
          <w:szCs w:val="20"/>
          <w:lang w:eastAsia="sr-Latn-RS"/>
        </w:rPr>
      </w:pPr>
    </w:p>
    <w:p w14:paraId="3137C9AB" w14:textId="77777777" w:rsidR="000C3943" w:rsidRPr="000C3943" w:rsidRDefault="000C3943" w:rsidP="000C3943">
      <w:pPr>
        <w:rPr>
          <w:rFonts w:asciiTheme="minorHAnsi" w:eastAsia="Times New Roman" w:hAnsiTheme="minorHAnsi" w:cstheme="minorHAnsi"/>
          <w:szCs w:val="20"/>
          <w:lang w:eastAsia="sr-Latn-RS"/>
        </w:rPr>
        <w:sectPr w:rsidR="000C3943" w:rsidRPr="000C3943" w:rsidSect="00A2187B">
          <w:pgSz w:w="11906" w:h="16838"/>
          <w:pgMar w:top="1418" w:right="1418" w:bottom="1276" w:left="1418" w:header="709" w:footer="709" w:gutter="0"/>
          <w:cols w:space="708"/>
          <w:docGrid w:linePitch="360"/>
        </w:sectPr>
      </w:pPr>
    </w:p>
    <w:p w14:paraId="271675EE" w14:textId="61F70F32" w:rsidR="00907F78" w:rsidRDefault="00C93698" w:rsidP="00C93698">
      <w:pPr>
        <w:pStyle w:val="Heading1"/>
        <w:numPr>
          <w:ilvl w:val="0"/>
          <w:numId w:val="2"/>
        </w:numPr>
      </w:pPr>
      <w:bookmarkStart w:id="7" w:name="_Toc15457606"/>
      <w:bookmarkStart w:id="8" w:name="_Toc15457664"/>
      <w:proofErr w:type="spellStart"/>
      <w:r>
        <w:lastRenderedPageBreak/>
        <w:t>Упитник</w:t>
      </w:r>
      <w:bookmarkEnd w:id="7"/>
      <w:bookmarkEnd w:id="8"/>
      <w:proofErr w:type="spellEnd"/>
      <w:r>
        <w:t xml:space="preserve"> </w:t>
      </w:r>
    </w:p>
    <w:tbl>
      <w:tblPr>
        <w:tblW w:w="15202" w:type="dxa"/>
        <w:tblLook w:val="04A0" w:firstRow="1" w:lastRow="0" w:firstColumn="1" w:lastColumn="0" w:noHBand="0" w:noVBand="1"/>
      </w:tblPr>
      <w:tblGrid>
        <w:gridCol w:w="6129"/>
        <w:gridCol w:w="1006"/>
        <w:gridCol w:w="1238"/>
        <w:gridCol w:w="1840"/>
        <w:gridCol w:w="4989"/>
      </w:tblGrid>
      <w:tr w:rsidR="00C93698" w:rsidRPr="00C93698" w14:paraId="1453AFE5" w14:textId="77777777" w:rsidTr="002D61BA">
        <w:trPr>
          <w:trHeight w:val="576"/>
        </w:trPr>
        <w:tc>
          <w:tcPr>
            <w:tcW w:w="152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44546A"/>
            <w:vAlign w:val="center"/>
            <w:hideMark/>
          </w:tcPr>
          <w:p w14:paraId="6C79B64E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2"/>
                <w:szCs w:val="32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b/>
                <w:bCs/>
                <w:color w:val="FFFFFF"/>
                <w:sz w:val="32"/>
                <w:szCs w:val="32"/>
                <w:lang w:val="sr-Cyrl-RS" w:eastAsia="sr-Cyrl-RS"/>
              </w:rPr>
              <w:t xml:space="preserve">SCORECARD 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FFFFFF"/>
                <w:sz w:val="32"/>
                <w:szCs w:val="32"/>
                <w:lang w:val="sr-Cyrl-RS" w:eastAsia="sr-Cyrl-RS"/>
              </w:rPr>
              <w:t>korporativnog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FFFFFF"/>
                <w:sz w:val="32"/>
                <w:szCs w:val="32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FFFFFF"/>
                <w:sz w:val="32"/>
                <w:szCs w:val="32"/>
                <w:lang w:val="sr-Cyrl-RS" w:eastAsia="sr-Cyrl-RS"/>
              </w:rPr>
              <w:t>upravljanja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FFFFFF"/>
                <w:sz w:val="32"/>
                <w:szCs w:val="32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FFFFFF"/>
                <w:sz w:val="32"/>
                <w:szCs w:val="32"/>
                <w:lang w:val="sr-Cyrl-RS" w:eastAsia="sr-Cyrl-RS"/>
              </w:rPr>
              <w:t>za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FFFFFF"/>
                <w:sz w:val="32"/>
                <w:szCs w:val="32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FFFFFF"/>
                <w:sz w:val="32"/>
                <w:szCs w:val="32"/>
                <w:lang w:val="sr-Cyrl-RS" w:eastAsia="sr-Cyrl-RS"/>
              </w:rPr>
              <w:t>lokalna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FFFFFF"/>
                <w:sz w:val="32"/>
                <w:szCs w:val="32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FFFFFF"/>
                <w:sz w:val="32"/>
                <w:szCs w:val="32"/>
                <w:lang w:val="sr-Cyrl-RS" w:eastAsia="sr-Cyrl-RS"/>
              </w:rPr>
              <w:t>javna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FFFFFF"/>
                <w:sz w:val="32"/>
                <w:szCs w:val="32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FFFFFF"/>
                <w:sz w:val="32"/>
                <w:szCs w:val="32"/>
                <w:lang w:val="sr-Cyrl-RS" w:eastAsia="sr-Cyrl-RS"/>
              </w:rPr>
              <w:t>preduzeća</w:t>
            </w:r>
            <w:proofErr w:type="spellEnd"/>
          </w:p>
        </w:tc>
      </w:tr>
      <w:tr w:rsidR="00C93698" w:rsidRPr="00C93698" w14:paraId="3E4BE9FA" w14:textId="77777777" w:rsidTr="002D61BA">
        <w:trPr>
          <w:trHeight w:val="386"/>
        </w:trPr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BBB3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  <w:t>Naziv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  <w:t>javnog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  <w:t>preduzeća</w:t>
            </w:r>
            <w:proofErr w:type="spellEnd"/>
          </w:p>
        </w:tc>
        <w:tc>
          <w:tcPr>
            <w:tcW w:w="90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2C7992C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  <w:t> </w:t>
            </w:r>
          </w:p>
        </w:tc>
      </w:tr>
      <w:tr w:rsidR="00C93698" w:rsidRPr="00C93698" w14:paraId="04950FF5" w14:textId="77777777" w:rsidTr="002D61BA">
        <w:trPr>
          <w:trHeight w:val="405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F01F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  <w:t>Datum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  <w:t>mesto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  <w:t xml:space="preserve"> </w:t>
            </w:r>
          </w:p>
        </w:tc>
        <w:tc>
          <w:tcPr>
            <w:tcW w:w="90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F1786A4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  <w:t> </w:t>
            </w:r>
          </w:p>
        </w:tc>
      </w:tr>
      <w:tr w:rsidR="00C93698" w:rsidRPr="00C93698" w14:paraId="7D0F8253" w14:textId="77777777" w:rsidTr="002D61BA">
        <w:trPr>
          <w:trHeight w:val="864"/>
        </w:trPr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7705A79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  <w:t>PITANJA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C4B9D29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  <w:t>Odgovor</w:t>
            </w:r>
            <w:proofErr w:type="spellEnd"/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2BD9197E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  <w:t>Standardni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  <w:t>težinski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  <w:t>faktor</w:t>
            </w:r>
            <w:proofErr w:type="spellEnd"/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2B3CA52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  <w:t>Broj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  <w:t>bodova</w:t>
            </w:r>
            <w:proofErr w:type="spellEnd"/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6657393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  <w:t>Izvor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  <w:t>informacija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  <w:t>komentari</w:t>
            </w:r>
            <w:proofErr w:type="spellEnd"/>
          </w:p>
        </w:tc>
      </w:tr>
      <w:tr w:rsidR="00C93698" w:rsidRPr="00C93698" w14:paraId="61602264" w14:textId="77777777" w:rsidTr="002D61BA">
        <w:trPr>
          <w:trHeight w:val="552"/>
        </w:trPr>
        <w:tc>
          <w:tcPr>
            <w:tcW w:w="10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21285167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 xml:space="preserve">I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Posvećenost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principima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korporativnog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upravljanja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društvena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odgovornost</w:t>
            </w:r>
            <w:proofErr w:type="spellEnd"/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22C7ADB8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10%</w:t>
            </w:r>
          </w:p>
        </w:tc>
      </w:tr>
      <w:tr w:rsidR="00C93698" w:rsidRPr="00C93698" w14:paraId="14FED288" w14:textId="77777777" w:rsidTr="002D61BA">
        <w:trPr>
          <w:trHeight w:val="1041"/>
        </w:trPr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BEFB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 1.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principi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korporativnog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upravljanja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primenjuje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praksi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uključeni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statut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ili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druga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LJP?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74B4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00F35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15%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3ACD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7.50%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7616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Ukoliko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mimo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zakonskih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odredbi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obuhvaćeni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principi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/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dobre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prakse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korporativnog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upravljanja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nazive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akata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opisati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odredbe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principi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definisani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4A2A926A" w14:textId="77777777" w:rsidTr="002D61BA">
        <w:trPr>
          <w:trHeight w:val="1267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6927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 2.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statut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ili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druga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 (u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obuhvaćeni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principi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korporativnog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upravljanja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primenjuje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praksi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)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lako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dostupni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svim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stakeholderima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nosiocima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interesa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zainteresovanim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stranama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)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npr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putem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interneta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odgovarajućoj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formi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? 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1A40F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F9158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15%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91CB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7.50%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0F4C2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linkove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statut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odnosno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druga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objavljena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internet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stranici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7B96F47A" w14:textId="77777777" w:rsidTr="002D61BA">
        <w:trPr>
          <w:trHeight w:val="1479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C17A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 3.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primeni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principa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korporativnog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upravljanja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raspravlja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sednicama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nadzornog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odbora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LJP?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E3E69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D1ADD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20%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4628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10.00%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5D5F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Ukoliko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korporativnom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upravljanju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raspravlja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sednicama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NO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delove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odgovarajućih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zapisnika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sednica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NO, a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kopije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zapisnika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priložiti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/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uvid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prilikom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intervjua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ocenjivačem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29A5A398" w14:textId="77777777" w:rsidTr="002D61BA">
        <w:trPr>
          <w:trHeight w:val="711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ECE5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 4.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LJP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svojim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godišnjim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izveštajima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objavljuje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usklađenost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poslovanja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principima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korporativnog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upravljanja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01B5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C418B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20%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1B3C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10.00%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86F0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kratak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opis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delova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objavljuje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usklađenost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poslovanja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navedenim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principima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a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kopije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relevantnih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delova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uvid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prilikom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intervjua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ocenjivačem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2EC9AE36" w14:textId="77777777" w:rsidTr="002D61BA">
        <w:trPr>
          <w:trHeight w:val="867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C22E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 5.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usvojilo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politike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/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principe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/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procedure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obezbeđuju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prilikom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donošenja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odluka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uzimaju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obzir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interesi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svih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stakeholdera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nosioca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interesa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zainteresovanih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strana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)?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2EE2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A7B94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30%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B0AF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15.00%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1433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pozitivan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odgovor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nazive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odgovarajućih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akata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usvojila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a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dokaze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usvojene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politike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/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principe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/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procedure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)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priložiti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/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uvid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prilikom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intervjua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ocenjivačem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3B34880F" w14:textId="77777777" w:rsidTr="002D61BA">
        <w:trPr>
          <w:trHeight w:val="516"/>
        </w:trPr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2D249D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24A18" w14:textId="77777777" w:rsidR="00C93698" w:rsidRPr="00C93698" w:rsidRDefault="00C93698" w:rsidP="00C9369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044130E5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100%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53FD812E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50%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1ABB1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</w:p>
        </w:tc>
      </w:tr>
      <w:tr w:rsidR="00C93698" w:rsidRPr="00C93698" w14:paraId="195188FE" w14:textId="77777777" w:rsidTr="002D61BA">
        <w:trPr>
          <w:trHeight w:val="576"/>
        </w:trPr>
        <w:tc>
          <w:tcPr>
            <w:tcW w:w="10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22C424C0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lastRenderedPageBreak/>
              <w:t xml:space="preserve">II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Lokalna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samouprava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 xml:space="preserve"> -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Osnivač</w:t>
            </w:r>
            <w:proofErr w:type="spellEnd"/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59C29817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20%</w:t>
            </w:r>
          </w:p>
        </w:tc>
      </w:tr>
      <w:tr w:rsidR="00C93698" w:rsidRPr="00C93698" w14:paraId="04947C40" w14:textId="77777777" w:rsidTr="002D61BA">
        <w:trPr>
          <w:trHeight w:val="699"/>
        </w:trPr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AE95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II 1.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LJP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dobija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jasne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strateške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smernice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strateški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prioriteti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obaveze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vezi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sprovođenjem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plana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razvoja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lokalne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samouprave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sl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.)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izradi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godišnjeg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plana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poslovanja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8AEE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2AF97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15%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7199C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7.50%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42C7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dokumenta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postupke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smernice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Takođe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nadležno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lice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poziciju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kojoj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nalazi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)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obavlja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ove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poslove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ime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</w:p>
        </w:tc>
      </w:tr>
      <w:tr w:rsidR="00C93698" w:rsidRPr="00C93698" w14:paraId="78F3B51D" w14:textId="77777777" w:rsidTr="002D61BA">
        <w:trPr>
          <w:trHeight w:val="996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6051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II 2.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učestvuje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izboru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finansijskih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pokazatelja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ključnih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operativnih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pokazatelja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(KPI)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osnovu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će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vršiti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praćenje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izvršenja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godišnjeg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plana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poslovanja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DEAF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1E8EB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5743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D81A7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konkretne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dokaze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/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primere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zapisnici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sastanaka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formalne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odluke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sl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.)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odnosno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objasniti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način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učestvuje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izboru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ovih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pokazatelja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lica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poziciju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kojoj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nalaze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)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obavljaju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ove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poslove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ime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 </w:t>
            </w:r>
          </w:p>
        </w:tc>
      </w:tr>
      <w:tr w:rsidR="00C93698" w:rsidRPr="00C93698" w14:paraId="22E17B09" w14:textId="77777777" w:rsidTr="002D61BA">
        <w:trPr>
          <w:trHeight w:val="745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0462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II 3. 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postoje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formalno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odnosno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neformalno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razvijeni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kanali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komunikacije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između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?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CFE56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6282B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FEE70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2.50%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AF910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opisati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sve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vrste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komunikacije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postoje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relaciji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-LJP.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konkretna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lica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poziciju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nalaze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)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predstavnici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vrši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komunikacija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63DE20D0" w14:textId="77777777" w:rsidTr="002D61BA">
        <w:trPr>
          <w:trHeight w:val="878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BFCB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II 4.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reaguje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probleme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eventualno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iskazani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tromesečnom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ili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godišnjem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) 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poslovanju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npr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.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vezi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stepenom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realizacije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investicionog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plana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strategijom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poslovanja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glavnim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rizicima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poslovanja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)?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FA494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98B0C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15%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81790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7.50%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BEBD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Detaljno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opisati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način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reaguje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konkretne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mere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preduzima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vezi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iskazanim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problemima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lica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poziciju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nalazi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)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ispred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učestvuju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ovom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procesu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3AEFB22B" w14:textId="77777777" w:rsidTr="002D61BA">
        <w:trPr>
          <w:trHeight w:val="1136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C8B1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II 5.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finansijskom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smislu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tretira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svoja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kao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odvojene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entitete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bez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diskrecionog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prava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preusmeravanje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slobodnih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finansijskih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sredstava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između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lokalnoj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samoupravi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odnosno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drugim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budžetskih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korisnicima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kao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bez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diskrecionog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prava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odlaganje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naplate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potraživanja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određenih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odnosno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korisnika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budžeta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ili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trećih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lica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152D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E483F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15%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7E1E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7.50%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07AA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dokaze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idu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datom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odgovoru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1B2A35E0" w14:textId="77777777" w:rsidTr="002D61BA">
        <w:trPr>
          <w:trHeight w:val="1086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E8F3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II 6.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finansijske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transakcije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između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odnosno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drugih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osnovao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moraju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biti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formalno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odobrene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strane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nadzornog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odbora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F7723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A50C9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E50B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AF69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Opisati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celokupan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proces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izvršenja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finansijskih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transakcija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počev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inicijalnog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zahteva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preko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odluke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NO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same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realizacije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finansijske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transakcije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).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Pojedinačna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odluke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NO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uvid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prilikom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razgovora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ocenjivačem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29812668" w14:textId="77777777" w:rsidTr="002D61BA">
        <w:trPr>
          <w:trHeight w:val="976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870D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II 7. 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godišnji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izveštaj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poslovanju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narativnom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delu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obuhvata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segment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materijalnih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operativnih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)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rizika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kao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finansijskih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rizika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suočava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CBCC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5354B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15%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2C19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7.50%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C193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godišnjeg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ovaj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segment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obrađen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a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same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priložiti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kao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dokaz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prilikom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razgovora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ocenjivačem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Ukoliko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moguće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kratim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crtama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suštinu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obrađena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ovom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delu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godišnjeg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poslovanju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70533BE2" w14:textId="77777777" w:rsidTr="002D61BA">
        <w:trPr>
          <w:trHeight w:val="894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1CF3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II 8. 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LJP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svom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poslovanju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pravi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jasnu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razliku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između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utvrđenih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komercijalnih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ciljeva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dodeljenih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ciljeva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javne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politike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strane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86D1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AF963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E0F61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2.50%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0A97F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Objasniti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način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pravi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razlika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između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komercijalnih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ciljeva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javne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politike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4AC4AE8A" w14:textId="77777777" w:rsidTr="002D61BA">
        <w:trPr>
          <w:trHeight w:val="837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49A2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lastRenderedPageBreak/>
              <w:t xml:space="preserve">II 9.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izdvaja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sredstva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ispunjenje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nekomercijalnih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ciljeva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ciljeva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javne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politike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)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dodeljeni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EA17F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65036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27F9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34B3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formalno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izdvojena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predmetna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sredstva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41751B4B" w14:textId="77777777" w:rsidTr="002D61BA">
        <w:trPr>
          <w:trHeight w:val="564"/>
        </w:trPr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8B31B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BFDE2" w14:textId="77777777" w:rsidR="00C93698" w:rsidRPr="00C93698" w:rsidRDefault="00C93698" w:rsidP="00C9369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14:paraId="4637904E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  <w:t>100%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14:paraId="5CA7EBEE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  <w:t>50.00%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035F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</w:p>
        </w:tc>
      </w:tr>
      <w:tr w:rsidR="00C93698" w:rsidRPr="00C93698" w14:paraId="75B56B0B" w14:textId="77777777" w:rsidTr="002D61BA">
        <w:trPr>
          <w:trHeight w:val="672"/>
        </w:trPr>
        <w:tc>
          <w:tcPr>
            <w:tcW w:w="10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CB9CA"/>
            <w:vAlign w:val="center"/>
            <w:hideMark/>
          </w:tcPr>
          <w:p w14:paraId="4EC9E152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 xml:space="preserve">III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Nadzorni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odbor</w:t>
            </w:r>
            <w:proofErr w:type="spellEnd"/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000000" w:fill="ACB9CA"/>
            <w:vAlign w:val="center"/>
            <w:hideMark/>
          </w:tcPr>
          <w:p w14:paraId="31D5E4C0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15%</w:t>
            </w:r>
          </w:p>
        </w:tc>
      </w:tr>
      <w:tr w:rsidR="00C93698" w:rsidRPr="00C93698" w14:paraId="4E47F2E1" w14:textId="77777777" w:rsidTr="002D61BA">
        <w:trPr>
          <w:trHeight w:val="890"/>
        </w:trPr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4090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III 1.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preciznije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utvrđena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nadležnost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nadzornog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odbora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pogledu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donošenja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strategije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poslovanja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praćenja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njenog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sprovođenja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?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08970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55F36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5%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26611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2.50%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9701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konkretna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utvrđena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/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razrađena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nadležnost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a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ista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uvid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razgovoru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ocenjivačem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7292E121" w14:textId="77777777" w:rsidTr="002D61BA">
        <w:trPr>
          <w:trHeight w:val="833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82B2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III 2.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utvrđene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nadležnosti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nadzornog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odbora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vezi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usvajanjem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finansijskih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LJP?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C228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423B1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A08C2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2.50%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AA95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Ukratko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odredbe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akata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a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ista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uvid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prilikom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razgovora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ocenjivačem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4592E2B4" w14:textId="77777777" w:rsidTr="002D61BA">
        <w:trPr>
          <w:trHeight w:val="547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B3E1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III 3.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utvrđena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nadležnost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nadzornog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odbora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pogledu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praćenja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kontrole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izvršnih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organa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646D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19172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5B92D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2.50%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C95E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Ukratko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odredbe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akata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a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ista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uvid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prilikom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razgovora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ocenjivačem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71E45F43" w14:textId="77777777" w:rsidTr="002D61BA">
        <w:trPr>
          <w:trHeight w:val="852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FF24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III 4.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utvrđeni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kriterijumi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definišu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potrebna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stručna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znanja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kompetencije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članova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nadzornog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odbora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?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C333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C3B12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15%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2D637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7.50%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CA0E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Ukratko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odredbe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akata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kriterijumi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definisani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a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ista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uvid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razgovoru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ocenjivačem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737792FA" w14:textId="77777777" w:rsidTr="002D61BA">
        <w:trPr>
          <w:trHeight w:val="837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87FF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III 5.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članovima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nadzornog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odbora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obezbeđena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kontinuirana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edukacija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ciljem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unapređenja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njihovih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znanja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sposobnosti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obavljanje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funkcije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člana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nadzornog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odbora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posebno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domena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korporativnog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upravljanja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)?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928D0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F91F9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FD233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FD913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Objasniti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vrste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obuka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sprovode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odnosno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plan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edukacije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ukoliko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postoji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),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kao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dužinu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trajanja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obuka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njihovu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učestalost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6BAF5B64" w14:textId="77777777" w:rsidTr="002D61BA">
        <w:trPr>
          <w:trHeight w:val="992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825F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III 6.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nadzorni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odbor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biraju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članovi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imaju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znanja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iskustva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oblasti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finansija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odnosno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iskustvo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privatnog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sektora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kako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konkretnu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granu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kojoj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posluje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tako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privatnog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sektora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uopšte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)?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5299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99A7D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87E41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08372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znanja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iskustva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članovi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NO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poseduju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a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vezi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navedenim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pitanjem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53693231" w14:textId="77777777" w:rsidTr="002D61BA">
        <w:trPr>
          <w:trHeight w:val="286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20743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III 7. 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nadzorni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odbor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biraju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zvaničnici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lokalne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samouprave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članovi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gradskog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/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opštinskog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veća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odbornici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odnosno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druga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izabrana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lica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),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kao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lica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članovi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političkih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stranaka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D7088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2C70D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B4007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1226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broj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članova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NO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ili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izabrana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lica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ili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članovi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političkih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partija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. </w:t>
            </w:r>
          </w:p>
        </w:tc>
      </w:tr>
      <w:tr w:rsidR="00C93698" w:rsidRPr="00C93698" w14:paraId="1B473036" w14:textId="77777777" w:rsidTr="002D61BA">
        <w:trPr>
          <w:trHeight w:val="569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5B58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III 8. 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sednice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nadzornog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odbora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punom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sastavu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(100%)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održavaju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najmanje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jednom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tri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meseca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F4C4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5ED15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4E4FE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2.50%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BE1D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frekvenciju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održavanja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sednica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procenat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prisutnosti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članova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Takođe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broj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odloženih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sednica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zbog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nedostatka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kvoruma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prethodne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3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godine</w:t>
            </w:r>
            <w:proofErr w:type="spellEnd"/>
            <w:r w:rsidRPr="00C93698">
              <w:rPr>
                <w:rFonts w:ascii="Calibri" w:eastAsia="Times New Roman" w:hAnsi="Calibri" w:cs="Calibri"/>
                <w:color w:val="FF0000"/>
                <w:sz w:val="20"/>
                <w:szCs w:val="20"/>
                <w:lang w:val="sr-Cyrl-RS" w:eastAsia="sr-Cyrl-RS"/>
              </w:rPr>
              <w:t>.</w:t>
            </w: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</w:p>
        </w:tc>
      </w:tr>
      <w:tr w:rsidR="00C93698" w:rsidRPr="00C93698" w14:paraId="159FB8DD" w14:textId="77777777" w:rsidTr="002D61BA">
        <w:trPr>
          <w:trHeight w:val="711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3AA5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III 9.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članovi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sastancima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nadzornog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odbora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aktivno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učestvuju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obradi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značajnih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pitanja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kreiranju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odluka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imaju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uticaja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poslovanje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LJP?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9A2A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E2F60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C41D9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2914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Detaljnije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objasniti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način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članovi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uzimaju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aktivno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(a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samo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formalno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)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učešće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Prilikom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razgovora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konsultantima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prezentovati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zapisnike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sednica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NO.</w:t>
            </w:r>
          </w:p>
        </w:tc>
      </w:tr>
      <w:tr w:rsidR="00C93698" w:rsidRPr="00C93698" w14:paraId="0FC9D1DB" w14:textId="77777777" w:rsidTr="002D61BA">
        <w:trPr>
          <w:trHeight w:val="1389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AC89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lastRenderedPageBreak/>
              <w:t xml:space="preserve">III 10.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nadzorni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odbor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aktivno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uključen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proces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izbora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generalnog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direktora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ostalih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izvršnih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organa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LJP?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aktivno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učešće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podrazumeva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stvaran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proces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selekcije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kandidata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najboljim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kompetencijama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datu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funkciju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a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formalno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izglasavanje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kandidata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nametnuti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strane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lokalne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samouprave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ili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političke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stranke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vlasti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ECAB9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41BF0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07C10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3C4A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Detaljno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objasniti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proceduru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izbora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generalnog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direktora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ostalih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izvršnih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organa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delu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odnosi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NO.</w:t>
            </w:r>
          </w:p>
        </w:tc>
      </w:tr>
      <w:tr w:rsidR="00C93698" w:rsidRPr="00C93698" w14:paraId="753BB4C6" w14:textId="77777777" w:rsidTr="002D61BA">
        <w:trPr>
          <w:trHeight w:val="1054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727C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III 11.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postoji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pravovremena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reakcija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nadzornog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odbora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informacije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ključnim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rizicima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iskazanim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tromesečnim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odnosno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godišnjem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odnosno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eksternog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revizora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8D42B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0364A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15%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F5EFE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7.50%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1343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reakcije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NO,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kao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efekte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takvih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reakcija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pisani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trag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zaključi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sednica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informacije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smernice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sl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.) 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reakcijama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NO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vezi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ključnim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rizicima</w:t>
            </w:r>
            <w:proofErr w:type="spellEnd"/>
          </w:p>
        </w:tc>
      </w:tr>
      <w:tr w:rsidR="00C93698" w:rsidRPr="00C93698" w14:paraId="3009A8ED" w14:textId="77777777" w:rsidTr="002D61BA">
        <w:trPr>
          <w:trHeight w:val="552"/>
        </w:trPr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2FC0E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C5CC2" w14:textId="77777777" w:rsidR="00C93698" w:rsidRPr="00C93698" w:rsidRDefault="00C93698" w:rsidP="00C9369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1BDF56BF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  <w:t>100.00%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620F8FD0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  <w:t>50.00%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0D01C5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</w:p>
        </w:tc>
      </w:tr>
      <w:tr w:rsidR="00C93698" w:rsidRPr="00C93698" w14:paraId="090E2802" w14:textId="77777777" w:rsidTr="009165C1">
        <w:trPr>
          <w:trHeight w:val="571"/>
        </w:trPr>
        <w:tc>
          <w:tcPr>
            <w:tcW w:w="10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CB9CA"/>
            <w:vAlign w:val="center"/>
            <w:hideMark/>
          </w:tcPr>
          <w:p w14:paraId="7295F14C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 xml:space="preserve">IV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Izvršni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organi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 xml:space="preserve"> LJP 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000000" w:fill="ACB9CA"/>
            <w:vAlign w:val="center"/>
            <w:hideMark/>
          </w:tcPr>
          <w:p w14:paraId="7D56E14C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15%</w:t>
            </w:r>
          </w:p>
        </w:tc>
      </w:tr>
      <w:tr w:rsidR="00C93698" w:rsidRPr="00C93698" w14:paraId="0C3190A0" w14:textId="77777777" w:rsidTr="002D61BA">
        <w:trPr>
          <w:trHeight w:val="631"/>
        </w:trPr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55FA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IV 1.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jasno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definisana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ovlašćenja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odgovornosti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generalnog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direktora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ostalih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izvršnih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organa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4691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2EDFC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10%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0B710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5.00%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A479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definisana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ovlašćenja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odgovornosti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Navedena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priložiti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/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uvid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prilikom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razgovora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ocenjivačem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33D23127" w14:textId="77777777" w:rsidTr="002D61BA">
        <w:trPr>
          <w:trHeight w:val="741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F55B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IV 2.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jasno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razgraničena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ovlašćenja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odgovornosti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izvršnih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organa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odnosu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nadzorni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odbor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29CD9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7DCD2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094E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DBD4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Ukratko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objasniti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kako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razgraničena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ovlašćenja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odgovornosti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izvršnih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organa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odnosu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NO?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Konkretna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priložiti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/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uvid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prilikom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razgovora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ocenjivačem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7EF3796D" w14:textId="77777777" w:rsidTr="009165C1">
        <w:trPr>
          <w:trHeight w:val="896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4768B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IV 3.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utvrđeni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kriterijumi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definišu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potrebna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stručna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znanja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kompetencije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članova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izvršnih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organa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7004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A01CD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15%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3DFBA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7.50%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BCA2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Ukratko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opisati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kriterijume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definisani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Konkretna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priložiti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/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uvid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prilikom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razgovora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ocenjivačem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1D178816" w14:textId="77777777" w:rsidTr="002D61BA">
        <w:trPr>
          <w:trHeight w:val="569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3DFC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IV 4.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generalni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direktor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izabran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javnom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konkursu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?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E243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8E588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20%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A46EF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10.00%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15F8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Ukratko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objasniti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tok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sprovedenog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javnog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konkursa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broj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lica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prijavljenih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konkurs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Dokumentaciju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javnom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konkursu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prezentovati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prilikom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razgovora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ocenjivačem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431A581F" w14:textId="77777777" w:rsidTr="002D61BA">
        <w:trPr>
          <w:trHeight w:val="569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884A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IV 5.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generalni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direktor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statusu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duže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godinu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uzeti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obzir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prethodne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direktore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ukoliko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poslednjih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godinu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došlo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promene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lica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navedenoj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poziciji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53FA0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68E35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20%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39C1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10.00%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8B4A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koliko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dugo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kumulativno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direktori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"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"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statusu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razloge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zbog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direktori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postavljaju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kao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vršioci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dužnosti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38C2D0A9" w14:textId="77777777" w:rsidTr="002D61BA">
        <w:trPr>
          <w:trHeight w:val="963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669D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IV 6. 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društvo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uspostavljene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efikasne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mehanizme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obezbeđenje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istinitog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blagovremenog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sveobuhvatnog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ravnopravnog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izveštavanja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svih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članova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nadzornog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odbora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strane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izvršnih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organa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LJP, 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svim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činjenicama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okolnostima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mogu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uticati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poslovanje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finansijski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položaj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potencijalne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rizike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stanje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imovine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preduzeća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?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8E91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E4257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15%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3F281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7.50%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AEBBF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konkretne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mehanizme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uspostavljeni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radi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navedenog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izveštavanja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NO.</w:t>
            </w:r>
          </w:p>
        </w:tc>
      </w:tr>
      <w:tr w:rsidR="00C93698" w:rsidRPr="00C93698" w14:paraId="057B7650" w14:textId="77777777" w:rsidTr="002D61BA">
        <w:trPr>
          <w:trHeight w:val="770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A7CE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lastRenderedPageBreak/>
              <w:t xml:space="preserve">IV 7.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postoji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direktna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redovna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komunikacija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između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generalnog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direktora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ovlašćenim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predstavnicima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funkcionerima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lokalnoj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samoupravi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)?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15D75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B2041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33C8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C5527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funkcionere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generalni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direktor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redovnu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komunikaciju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kao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učestalost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komunikacije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dnevno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nedeljno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mesečno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….)</w:t>
            </w:r>
          </w:p>
        </w:tc>
      </w:tr>
      <w:tr w:rsidR="00C93698" w:rsidRPr="00C93698" w14:paraId="76ED28C3" w14:textId="77777777" w:rsidTr="002D61BA">
        <w:trPr>
          <w:trHeight w:val="336"/>
        </w:trPr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7696EE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90753" w14:textId="77777777" w:rsidR="00C93698" w:rsidRPr="00C93698" w:rsidRDefault="00C93698" w:rsidP="00C9369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bottom"/>
            <w:hideMark/>
          </w:tcPr>
          <w:p w14:paraId="4FEAAD21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  <w:t>100.00%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bottom"/>
            <w:hideMark/>
          </w:tcPr>
          <w:p w14:paraId="7900AABE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  <w:t>50.00%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34079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</w:p>
        </w:tc>
      </w:tr>
      <w:tr w:rsidR="00C93698" w:rsidRPr="00C93698" w14:paraId="1FB18A50" w14:textId="77777777" w:rsidTr="009165C1">
        <w:trPr>
          <w:trHeight w:val="577"/>
        </w:trPr>
        <w:tc>
          <w:tcPr>
            <w:tcW w:w="10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CB9CA"/>
            <w:noWrap/>
            <w:vAlign w:val="center"/>
            <w:hideMark/>
          </w:tcPr>
          <w:p w14:paraId="1B2FE82C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 xml:space="preserve">V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Poslovi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nadzora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kontrole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eksterne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revizije</w:t>
            </w:r>
            <w:proofErr w:type="spellEnd"/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000000" w:fill="ACB9CA"/>
            <w:noWrap/>
            <w:vAlign w:val="center"/>
            <w:hideMark/>
          </w:tcPr>
          <w:p w14:paraId="17EAA466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20%</w:t>
            </w:r>
          </w:p>
        </w:tc>
      </w:tr>
      <w:tr w:rsidR="00C93698" w:rsidRPr="00C93698" w14:paraId="6FBC7590" w14:textId="77777777" w:rsidTr="002D61BA">
        <w:trPr>
          <w:trHeight w:val="805"/>
        </w:trPr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F91D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V 1.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LJP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potpunosti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uspostavljen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sistem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finansijskog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upravljanja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kontrole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(FUK)?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9EB0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F6E8D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15%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0DBEF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7.50%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3FF5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kada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uspostavljen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sistem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kao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eventualne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probleme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susretalo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prilikom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uspostavljanja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sistema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FUK.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Dokaze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uspostavljenom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sistemu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FUK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priložiti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prilikom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razgovora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ocenjivačem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180FF343" w14:textId="77777777" w:rsidTr="002D61BA">
        <w:trPr>
          <w:trHeight w:val="2592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142B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V 2.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LJP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uspostavljenu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funkciju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revizije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bilo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kroz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zaposlenog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revizora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ili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kroz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zajedničku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reviziju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D7D07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2535B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15%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48D6B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7.50%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2706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godine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uspostavljena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funkcija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kao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eventualne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probleme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javljali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prilikom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uspostavljanja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odnosno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tokom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revizije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Akta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organizaciji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funkcije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revizije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priložiti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/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uvid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prilikom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razgovora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ocenjivačem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koliko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dugo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revizor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obavlja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poslove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LJP,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odnosno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koliko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godina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iskustva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poslovima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revizije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.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slučaju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zajedničke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revizije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priložiti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dokument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predstavlja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pravni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osnov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realizaciju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zajedničke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revizije</w:t>
            </w:r>
            <w:proofErr w:type="spellEnd"/>
          </w:p>
        </w:tc>
      </w:tr>
      <w:tr w:rsidR="00C93698" w:rsidRPr="00C93698" w14:paraId="6CD89CB9" w14:textId="77777777" w:rsidTr="002D61BA">
        <w:trPr>
          <w:trHeight w:val="58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2243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V 3.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nivou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društva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definisani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ključni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pokazatelji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–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indikatori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rizika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nadzornim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organima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treba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ukažu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potrebu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sprovođenja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preventivnog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nadzora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kontrole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344C6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23101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20%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EBB5E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10.00%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F457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ključni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pokazatelji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rizika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LJP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koriste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navedenu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namenu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. </w:t>
            </w:r>
          </w:p>
        </w:tc>
      </w:tr>
      <w:tr w:rsidR="00C93698" w:rsidRPr="00C93698" w14:paraId="4B4B2885" w14:textId="77777777" w:rsidTr="002D61BA">
        <w:trPr>
          <w:trHeight w:val="286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4D6F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V 4.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nadzorni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odbor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nadgleda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upravljanje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rizicima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korupcije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odnosno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uspostavljanje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mehanizama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ovaj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rizik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svodi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najmanju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moguću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meru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6847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1342D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B67A8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728C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konkretno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način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NO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vrši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nadgledanje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upravljanjem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rizicima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korupcije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0300B05E" w14:textId="77777777" w:rsidTr="002D61BA">
        <w:trPr>
          <w:trHeight w:val="680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50FC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V 5.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eksterni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revizor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prisustvuje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sednici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nadzornog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odbora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cilju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pružanja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dodatnih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informacija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vezi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izvršenom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revizijom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izraženim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mišljenjem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95C9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0095F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47B0B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2.50%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46AA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Ukratko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detalje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zapisnika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sednice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NO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kojoj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raspravljalo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eksternog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revizora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Konkretan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zapisnik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prikazati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/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uvid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razgovoru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ocenjivačem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748ECAE9" w14:textId="77777777" w:rsidTr="002D61BA">
        <w:trPr>
          <w:trHeight w:val="551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BA00" w14:textId="77777777" w:rsidR="00C93698" w:rsidRPr="00C93698" w:rsidRDefault="00C93698" w:rsidP="00C936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V 6.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eksterni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revizor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pored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reviziji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izrađuje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poseban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dokument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namenjen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izvršnim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organima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pismo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upravi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)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obuhvaćene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značajnije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slabosti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uočene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postupcima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kontrole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računovodstvenim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operativnim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postupcima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preduzeća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sugestijama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njihovo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poboljšanje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?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6028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B93F5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E509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6B9A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Ukratko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slabosti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iznete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poslednjem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"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pismu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upravi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"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eksterni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revizor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dostavio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izvršnim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organima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Dostavljeno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pismo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uvid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prilikom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razgovora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ocenjivačem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262F6B62" w14:textId="77777777" w:rsidTr="002D61BA">
        <w:trPr>
          <w:trHeight w:val="725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2FED" w14:textId="77777777" w:rsidR="00C93698" w:rsidRPr="00C93698" w:rsidRDefault="00C93698" w:rsidP="00C936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lastRenderedPageBreak/>
              <w:t xml:space="preserve">V 7.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izvršni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organi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društva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preduzimaju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korektivne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radnje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vezi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navodima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iskazani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pismu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upravi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A6480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E4E55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15%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BF76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7.50%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EEA1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konkretne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radnje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preduzete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kao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reakcija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poslednje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"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pismo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upravi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"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eksterni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revizor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dostavio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0203B642" w14:textId="77777777" w:rsidTr="002D61BA">
        <w:trPr>
          <w:trHeight w:val="835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60BA" w14:textId="77777777" w:rsidR="00C93698" w:rsidRPr="00C93698" w:rsidRDefault="00C93698" w:rsidP="00C936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V 8.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postoji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potpuna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komunikacija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između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eksternog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revizora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toku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postupka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vršenja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eksterne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revizije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preduzeću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760B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B5FDC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948EC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62F3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Opisati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način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vrši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komunikacija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kolika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učestalost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komunikacije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postupku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sprovođenja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eksterne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revizije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kao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eventualne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probleme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nastale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komunikaciji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7DA6F540" w14:textId="77777777" w:rsidTr="002D61BA">
        <w:trPr>
          <w:trHeight w:val="372"/>
        </w:trPr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3BB5F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80A99" w14:textId="77777777" w:rsidR="00C93698" w:rsidRPr="00C93698" w:rsidRDefault="00C93698" w:rsidP="00C93698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14:paraId="05EB6D52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sz w:val="22"/>
                <w:lang w:val="sr-Cyrl-RS" w:eastAsia="sr-Cyrl-RS"/>
              </w:rPr>
              <w:t>100.00%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14:paraId="33CD9F2F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sz w:val="22"/>
                <w:lang w:val="sr-Cyrl-RS" w:eastAsia="sr-Cyrl-RS"/>
              </w:rPr>
              <w:t>50.00%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090FC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</w:tr>
      <w:tr w:rsidR="00C93698" w:rsidRPr="00C93698" w14:paraId="3DB9AAEC" w14:textId="77777777" w:rsidTr="009165C1">
        <w:trPr>
          <w:trHeight w:val="575"/>
        </w:trPr>
        <w:tc>
          <w:tcPr>
            <w:tcW w:w="10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CB9CA"/>
            <w:noWrap/>
            <w:vAlign w:val="center"/>
            <w:hideMark/>
          </w:tcPr>
          <w:p w14:paraId="08A85FF2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 xml:space="preserve">VI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Transparentnost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javnost</w:t>
            </w:r>
            <w:proofErr w:type="spellEnd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poslovanja</w:t>
            </w:r>
            <w:proofErr w:type="spellEnd"/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000000" w:fill="ACB9CA"/>
            <w:noWrap/>
            <w:vAlign w:val="center"/>
            <w:hideMark/>
          </w:tcPr>
          <w:p w14:paraId="3E75869B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RS" w:eastAsia="sr-Cyrl-RS"/>
              </w:rPr>
              <w:t>20%</w:t>
            </w:r>
          </w:p>
        </w:tc>
      </w:tr>
      <w:tr w:rsidR="00C93698" w:rsidRPr="00C93698" w14:paraId="403C15B4" w14:textId="77777777" w:rsidTr="002D61BA">
        <w:trPr>
          <w:trHeight w:val="503"/>
        </w:trPr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205A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VI 1.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LJP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objavljivanje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svih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relevantnih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informacija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koristi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sopstvenu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internet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stranicu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i/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ili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stranicu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2FE19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0A61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10%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A0A79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5.00%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98A0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link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nalaze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ove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informacije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47457772" w14:textId="77777777" w:rsidTr="002D61BA">
        <w:trPr>
          <w:trHeight w:val="992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8397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VI 2.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društvo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pravovremeno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objavljuje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finansijske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poslovne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eksternog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revizora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skladu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zakonom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dobrom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korporativnom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praksom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sopstvenoj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internet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stranici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i/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ili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stranici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1298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29C9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10%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D252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C6683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link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nalaze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ovi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kao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okvirni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rok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potreban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objavljivanje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ovih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informacija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internet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stranici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LJP.</w:t>
            </w:r>
          </w:p>
        </w:tc>
      </w:tr>
      <w:tr w:rsidR="00C93698" w:rsidRPr="00C93698" w14:paraId="4BF8AEEB" w14:textId="77777777" w:rsidTr="002D61BA">
        <w:trPr>
          <w:trHeight w:val="144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31AC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VI 3.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LJP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promptno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vanredno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mimo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obaveznih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tromesečnih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)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obaveštava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okolnostima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predstavljaju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materijalno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značajan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fiskalni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rizik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647B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AA15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10%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DAF2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3E4B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Ukratko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opisati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postupak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ovakvog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načina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obaveštavanja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uz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navođenje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konkretnog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realnog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primera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prethodnog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perioda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2874E428" w14:textId="77777777" w:rsidTr="002D61BA">
        <w:trPr>
          <w:trHeight w:val="58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47E3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VI 4.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LJP 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jasno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definisanu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javno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dostupnu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politiku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izveštavanja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definiše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principe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pravila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procedure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izveštavanja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nadležnih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institucija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nadležnih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ministarstava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)?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9320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0D4A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20%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8A17C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10.00%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BE1A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Ukratko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opisati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suštinu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navedene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politike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a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istu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uvid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prilikom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razgovora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ocenjivačem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083E1EFF" w14:textId="77777777" w:rsidTr="002D61BA">
        <w:trPr>
          <w:trHeight w:val="144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9DFC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VI 5.Da li LJP 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jasno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definisanu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javno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dostupnu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politiku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izveštavanja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definiše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principe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pravila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procedure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izveštavanja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zainteresovane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javnosti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građana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institucija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civilnog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društva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medija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)?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A303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89B75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10%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0AA85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BA69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Ukratko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opisati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suštinu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navedene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politike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a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istu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prikazati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prilikom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razgovora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ocenjivačem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5E939D52" w14:textId="77777777" w:rsidTr="002D61BA">
        <w:trPr>
          <w:trHeight w:val="584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CFBD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VI 6.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postoje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mehanizmi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procedure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omogućavaju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uključivanje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zainteresovane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javnosti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(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građana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institucija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civilnog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društva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naučne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stručne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zajednice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)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izradu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godišnjeg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plana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poslovanja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95ADB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4B31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20%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46327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10.00%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AC87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Ukratko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opisati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mehanizme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procedure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regulisano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uključivanje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zainteresovane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javnosti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proces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izrade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godišnjeg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plana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poslovanja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7AD267F4" w14:textId="77777777" w:rsidTr="002D61BA">
        <w:trPr>
          <w:trHeight w:val="583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72A4E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VI 7.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LJP,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svojoj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internet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stranici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objavljuje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biografske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podatke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članovima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nadzornog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odbora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,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izvršnih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organa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lica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obavljaju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poslove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nadzora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kontrole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ED22C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A1AD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10%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42C76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70B4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link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nalaze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ove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informacije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63FED97C" w14:textId="77777777" w:rsidTr="002D61BA">
        <w:trPr>
          <w:trHeight w:val="551"/>
        </w:trPr>
        <w:tc>
          <w:tcPr>
            <w:tcW w:w="6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EF2D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VI 8.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društvo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objavljuje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podatke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o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transakcijama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Osnivačem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drugim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LJP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lokalnoj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samoupravi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?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69525" w14:textId="77777777" w:rsidR="00C93698" w:rsidRPr="00C93698" w:rsidRDefault="00C93698" w:rsidP="00C93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99C2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10%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BA848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</w:pPr>
            <w:r w:rsidRPr="00C93698">
              <w:rPr>
                <w:rFonts w:ascii="Arial" w:eastAsia="Times New Roman" w:hAnsi="Arial" w:cs="Arial"/>
                <w:sz w:val="18"/>
                <w:szCs w:val="18"/>
                <w:lang w:val="sr-Cyrl-RS" w:eastAsia="sr-Cyrl-RS"/>
              </w:rPr>
              <w:t>5.00%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8EEC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Navesti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način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i u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kojoj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formi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se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objavljuje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ova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vrsta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 xml:space="preserve"> </w:t>
            </w:r>
            <w:proofErr w:type="spellStart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podataka</w:t>
            </w:r>
            <w:proofErr w:type="spellEnd"/>
            <w:r w:rsidRPr="00C9369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C93698" w:rsidRPr="00C93698" w14:paraId="59FEE429" w14:textId="77777777" w:rsidTr="002D61BA">
        <w:trPr>
          <w:trHeight w:val="288"/>
        </w:trPr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A5D83" w14:textId="77777777" w:rsidR="00C93698" w:rsidRPr="00C93698" w:rsidRDefault="00C93698" w:rsidP="00C9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240E9" w14:textId="77777777" w:rsidR="00C93698" w:rsidRPr="00C93698" w:rsidRDefault="00C93698" w:rsidP="00C9369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bottom"/>
            <w:hideMark/>
          </w:tcPr>
          <w:p w14:paraId="3B50E7B6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  <w:t>100.00%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bottom"/>
            <w:hideMark/>
          </w:tcPr>
          <w:p w14:paraId="29D60C62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  <w:r w:rsidRPr="00C93698"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  <w:t>50.00%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5C839" w14:textId="77777777" w:rsidR="00C93698" w:rsidRPr="00C93698" w:rsidRDefault="00C93698" w:rsidP="00C9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</w:p>
        </w:tc>
      </w:tr>
      <w:tr w:rsidR="00C93698" w:rsidRPr="00C93698" w14:paraId="1FF86EAB" w14:textId="77777777" w:rsidTr="002D61BA">
        <w:trPr>
          <w:trHeight w:val="288"/>
        </w:trPr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83CE3D" w14:textId="77777777" w:rsidR="00C93698" w:rsidRPr="00C93698" w:rsidRDefault="00C93698" w:rsidP="00C9369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BCFBB" w14:textId="77777777" w:rsidR="00C93698" w:rsidRPr="00C93698" w:rsidRDefault="00C93698" w:rsidP="00C9369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CFD0B" w14:textId="77777777" w:rsidR="00C93698" w:rsidRPr="00C93698" w:rsidRDefault="00C93698" w:rsidP="00C9369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6D1B" w14:textId="77777777" w:rsidR="00C93698" w:rsidRPr="00C93698" w:rsidRDefault="00C93698" w:rsidP="00C9369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A840B" w14:textId="77777777" w:rsidR="00C93698" w:rsidRPr="00C93698" w:rsidRDefault="00C93698" w:rsidP="00C9369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</w:tbl>
    <w:p w14:paraId="0E590C2C" w14:textId="77777777" w:rsidR="002D61BA" w:rsidRDefault="002D61BA">
      <w:r>
        <w:br w:type="page"/>
      </w:r>
    </w:p>
    <w:tbl>
      <w:tblPr>
        <w:tblW w:w="15338" w:type="dxa"/>
        <w:tblLook w:val="04A0" w:firstRow="1" w:lastRow="0" w:firstColumn="1" w:lastColumn="0" w:noHBand="0" w:noVBand="1"/>
      </w:tblPr>
      <w:tblGrid>
        <w:gridCol w:w="2007"/>
        <w:gridCol w:w="976"/>
        <w:gridCol w:w="1025"/>
        <w:gridCol w:w="976"/>
        <w:gridCol w:w="1176"/>
        <w:gridCol w:w="976"/>
        <w:gridCol w:w="976"/>
        <w:gridCol w:w="976"/>
        <w:gridCol w:w="1176"/>
        <w:gridCol w:w="976"/>
        <w:gridCol w:w="976"/>
        <w:gridCol w:w="976"/>
        <w:gridCol w:w="1025"/>
        <w:gridCol w:w="976"/>
        <w:gridCol w:w="976"/>
      </w:tblGrid>
      <w:tr w:rsidR="002D61BA" w:rsidRPr="002D61BA" w14:paraId="3E2BA469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D700" w14:textId="30DCA22B" w:rsidR="002D61BA" w:rsidRPr="002D61BA" w:rsidRDefault="002D61BA" w:rsidP="002D61BA">
            <w:pPr>
              <w:pStyle w:val="Heading1"/>
              <w:numPr>
                <w:ilvl w:val="0"/>
                <w:numId w:val="2"/>
              </w:numPr>
              <w:rPr>
                <w:rFonts w:eastAsia="Times New Roman"/>
                <w:lang w:eastAsia="sr-Cyrl-RS"/>
              </w:rPr>
            </w:pPr>
            <w:bookmarkStart w:id="9" w:name="_Toc15457607"/>
            <w:bookmarkStart w:id="10" w:name="_Toc15457665"/>
            <w:proofErr w:type="spellStart"/>
            <w:r>
              <w:rPr>
                <w:rFonts w:eastAsia="Times New Roman"/>
                <w:lang w:eastAsia="sr-Cyrl-RS"/>
              </w:rPr>
              <w:lastRenderedPageBreak/>
              <w:t>Извешт</w:t>
            </w:r>
            <w:proofErr w:type="spellEnd"/>
            <w:r w:rsidR="00873754">
              <w:rPr>
                <w:rFonts w:eastAsia="Times New Roman"/>
                <w:lang w:val="sr-Cyrl-RS" w:eastAsia="sr-Cyrl-RS"/>
              </w:rPr>
              <w:t>а</w:t>
            </w:r>
            <w:r>
              <w:rPr>
                <w:rFonts w:eastAsia="Times New Roman"/>
                <w:lang w:eastAsia="sr-Cyrl-RS"/>
              </w:rPr>
              <w:t>ј</w:t>
            </w:r>
            <w:bookmarkEnd w:id="9"/>
            <w:bookmarkEnd w:id="10"/>
            <w:r>
              <w:rPr>
                <w:rFonts w:eastAsia="Times New Roman"/>
                <w:lang w:eastAsia="sr-Cyrl-RS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CA94" w14:textId="77777777" w:rsidR="002D61BA" w:rsidRPr="002D61BA" w:rsidRDefault="002D61BA" w:rsidP="002D61BA">
            <w:pPr>
              <w:pStyle w:val="Heading1"/>
              <w:rPr>
                <w:rFonts w:eastAsia="Times New Roman"/>
                <w:szCs w:val="20"/>
                <w:lang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376B7" w14:textId="77777777" w:rsidR="002D61BA" w:rsidRPr="002D61BA" w:rsidRDefault="002D61BA" w:rsidP="002D61BA">
            <w:pPr>
              <w:pStyle w:val="Heading1"/>
              <w:rPr>
                <w:rFonts w:eastAsia="Times New Roman"/>
                <w:szCs w:val="20"/>
                <w:lang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3A59" w14:textId="77777777" w:rsidR="002D61BA" w:rsidRPr="002D61BA" w:rsidRDefault="002D61BA" w:rsidP="002D61BA">
            <w:pPr>
              <w:pStyle w:val="Heading1"/>
              <w:rPr>
                <w:rFonts w:eastAsia="Times New Roman"/>
                <w:szCs w:val="20"/>
                <w:lang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4970" w14:textId="77777777" w:rsidR="002D61BA" w:rsidRPr="002D61BA" w:rsidRDefault="002D61BA" w:rsidP="002D61BA">
            <w:pPr>
              <w:pStyle w:val="Heading1"/>
              <w:rPr>
                <w:rFonts w:eastAsia="Times New Roman"/>
                <w:szCs w:val="20"/>
                <w:lang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371C" w14:textId="77777777" w:rsidR="002D61BA" w:rsidRPr="002D61BA" w:rsidRDefault="002D61BA" w:rsidP="002D61BA">
            <w:pPr>
              <w:pStyle w:val="Heading1"/>
              <w:rPr>
                <w:rFonts w:eastAsia="Times New Roman"/>
                <w:szCs w:val="20"/>
                <w:lang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E1CD0" w14:textId="77777777" w:rsidR="002D61BA" w:rsidRPr="002D61BA" w:rsidRDefault="002D61BA" w:rsidP="002D61BA">
            <w:pPr>
              <w:pStyle w:val="Heading1"/>
              <w:rPr>
                <w:rFonts w:eastAsia="Times New Roman"/>
                <w:szCs w:val="20"/>
                <w:lang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4A21" w14:textId="77777777" w:rsidR="002D61BA" w:rsidRPr="002D61BA" w:rsidRDefault="002D61BA" w:rsidP="002D61BA">
            <w:pPr>
              <w:pStyle w:val="Heading1"/>
              <w:rPr>
                <w:rFonts w:eastAsia="Times New Roman"/>
                <w:szCs w:val="20"/>
                <w:lang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A37D" w14:textId="77777777" w:rsidR="002D61BA" w:rsidRPr="002D61BA" w:rsidRDefault="002D61BA" w:rsidP="002D61BA">
            <w:pPr>
              <w:pStyle w:val="Heading1"/>
              <w:rPr>
                <w:rFonts w:eastAsia="Times New Roman"/>
                <w:szCs w:val="20"/>
                <w:lang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8C188" w14:textId="77777777" w:rsidR="002D61BA" w:rsidRPr="002D61BA" w:rsidRDefault="002D61BA" w:rsidP="002D61BA">
            <w:pPr>
              <w:pStyle w:val="Heading1"/>
              <w:rPr>
                <w:rFonts w:eastAsia="Times New Roman"/>
                <w:szCs w:val="20"/>
                <w:lang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5776B" w14:textId="77777777" w:rsidR="002D61BA" w:rsidRPr="002D61BA" w:rsidRDefault="002D61BA" w:rsidP="002D61BA">
            <w:pPr>
              <w:pStyle w:val="Heading1"/>
              <w:rPr>
                <w:rFonts w:eastAsia="Times New Roman"/>
                <w:szCs w:val="20"/>
                <w:lang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304C3" w14:textId="77777777" w:rsidR="002D61BA" w:rsidRPr="002D61BA" w:rsidRDefault="002D61BA" w:rsidP="002D61BA">
            <w:pPr>
              <w:pStyle w:val="Heading1"/>
              <w:rPr>
                <w:rFonts w:eastAsia="Times New Roman"/>
                <w:szCs w:val="20"/>
                <w:lang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6BDB" w14:textId="77777777" w:rsidR="002D61BA" w:rsidRPr="002D61BA" w:rsidRDefault="002D61BA" w:rsidP="002D61BA">
            <w:pPr>
              <w:pStyle w:val="Heading1"/>
              <w:rPr>
                <w:rFonts w:eastAsia="Times New Roman"/>
                <w:szCs w:val="20"/>
                <w:lang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8812F" w14:textId="77777777" w:rsidR="002D61BA" w:rsidRPr="002D61BA" w:rsidRDefault="002D61BA" w:rsidP="002D61BA">
            <w:pPr>
              <w:pStyle w:val="Heading1"/>
              <w:rPr>
                <w:rFonts w:eastAsia="Times New Roman"/>
                <w:szCs w:val="20"/>
                <w:lang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0ACA3" w14:textId="77777777" w:rsidR="002D61BA" w:rsidRPr="002D61BA" w:rsidRDefault="002D61BA" w:rsidP="002D61BA">
            <w:pPr>
              <w:pStyle w:val="Heading1"/>
              <w:rPr>
                <w:rFonts w:eastAsia="Times New Roman"/>
                <w:szCs w:val="20"/>
                <w:lang w:eastAsia="sr-Cyrl-RS"/>
              </w:rPr>
            </w:pPr>
          </w:p>
        </w:tc>
      </w:tr>
      <w:tr w:rsidR="002D61BA" w:rsidRPr="002D61BA" w14:paraId="260B92E0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E53ECF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A780E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09524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A602E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CAFA1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A175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DE7D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382A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874A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5FC37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DAB12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CB07D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F8F22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6E0E8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30BE9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340D5EC4" w14:textId="77777777" w:rsidTr="002D61BA">
        <w:trPr>
          <w:trHeight w:val="30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F16A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4DB9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8D7F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193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0EC3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41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3757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D3A01" w14:textId="77777777" w:rsidR="002D61BA" w:rsidRPr="002D61BA" w:rsidRDefault="002D61BA" w:rsidP="002D61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71CE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D341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3621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039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564E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1A1E4D1" w14:textId="77777777" w:rsidTr="002D61BA">
        <w:trPr>
          <w:trHeight w:val="288"/>
        </w:trPr>
        <w:tc>
          <w:tcPr>
            <w:tcW w:w="415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F96568" w14:textId="77777777" w:rsidR="002D61BA" w:rsidRPr="002D61BA" w:rsidRDefault="002D61BA" w:rsidP="002D61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</w:pP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Posvećenost</w:t>
            </w:r>
            <w:proofErr w:type="spellEnd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principima</w:t>
            </w:r>
            <w:proofErr w:type="spellEnd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korporativnog</w:t>
            </w:r>
            <w:proofErr w:type="spellEnd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upravljanja</w:t>
            </w:r>
            <w:proofErr w:type="spellEnd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 xml:space="preserve"> i </w:t>
            </w: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društvena</w:t>
            </w:r>
            <w:proofErr w:type="spellEnd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odgovornost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44FAD" w14:textId="77777777" w:rsidR="002D61BA" w:rsidRPr="002D61BA" w:rsidRDefault="002D61BA" w:rsidP="002D61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</w:pPr>
          </w:p>
        </w:tc>
        <w:tc>
          <w:tcPr>
            <w:tcW w:w="41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61744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72FE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395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B63FF0" w14:textId="77777777" w:rsidR="002D61BA" w:rsidRPr="002D61BA" w:rsidRDefault="002D61BA" w:rsidP="002D61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</w:pP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Izvršni</w:t>
            </w:r>
            <w:proofErr w:type="spellEnd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organi</w:t>
            </w:r>
            <w:proofErr w:type="spellEnd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 xml:space="preserve"> LJP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F8D70" w14:textId="77777777" w:rsidR="002D61BA" w:rsidRPr="002D61BA" w:rsidRDefault="002D61BA" w:rsidP="002D61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</w:pPr>
          </w:p>
        </w:tc>
      </w:tr>
      <w:tr w:rsidR="002D61BA" w:rsidRPr="002D61BA" w14:paraId="466CA313" w14:textId="77777777" w:rsidTr="002D61BA">
        <w:trPr>
          <w:trHeight w:val="288"/>
        </w:trPr>
        <w:tc>
          <w:tcPr>
            <w:tcW w:w="415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AD41724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AB8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91FA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19B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74D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3858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5272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395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2CE63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45FD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27059361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8FB0D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3F1D2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E5CC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Standard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C9B26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8EB0D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E414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B9F7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2053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703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0C844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D442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ED5F8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Standard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37DCE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E4B8F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</w:tr>
      <w:tr w:rsidR="002D61BA" w:rsidRPr="002D61BA" w14:paraId="71331FB5" w14:textId="77777777" w:rsidTr="002D61BA">
        <w:trPr>
          <w:trHeight w:val="288"/>
        </w:trPr>
        <w:tc>
          <w:tcPr>
            <w:tcW w:w="21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3AF68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Težinski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faktor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: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CE0FA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  <w:t>10.00%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FB981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C45E2" w14:textId="610015E5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noProof/>
                <w:color w:val="000000"/>
                <w:sz w:val="22"/>
                <w:lang w:val="sr-Cyrl-RS" w:eastAsia="sr-Cyrl-RS"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 wp14:anchorId="0A6B4944" wp14:editId="67847EC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30480</wp:posOffset>
                      </wp:positionV>
                      <wp:extent cx="609600" cy="2987040"/>
                      <wp:effectExtent l="0" t="0" r="76200" b="346710"/>
                      <wp:wrapNone/>
                      <wp:docPr id="25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0075" cy="3305175"/>
                                <a:chOff x="0" y="0"/>
                                <a:chExt cx="609600" cy="3305175"/>
                              </a:xfrm>
                            </wpg:grpSpPr>
                            <wps:wsp>
                              <wps:cNvPr id="26" name="Freeform 11">
                                <a:extLst>
                                  <a:ext uri="{FF2B5EF4-FFF2-40B4-BE49-F238E27FC236}">
                                    <a16:creationId xmlns:a16="http://schemas.microsoft.com/office/drawing/2014/main" id="{00E535FA-BB19-499B-8D5D-26A2C8E0D43F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600075" cy="1352550"/>
                                </a:xfrm>
                                <a:custGeom>
                                  <a:avLst/>
                                  <a:gdLst>
                                    <a:gd name="T0" fmla="*/ 0 w 220"/>
                                    <a:gd name="T1" fmla="*/ 0 h 27"/>
                                    <a:gd name="T2" fmla="*/ 2147483646 w 220"/>
                                    <a:gd name="T3" fmla="*/ 0 h 27"/>
                                    <a:gd name="T4" fmla="*/ 2147483646 w 220"/>
                                    <a:gd name="T5" fmla="*/ 2147483646 h 27"/>
                                    <a:gd name="T6" fmla="*/ 2147483646 w 220"/>
                                    <a:gd name="T7" fmla="*/ 2147483646 h 27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  <a:gd name="T12" fmla="*/ 0 w 220"/>
                                    <a:gd name="T13" fmla="*/ 0 h 27"/>
                                    <a:gd name="T14" fmla="*/ 220 w 220"/>
                                    <a:gd name="T15" fmla="*/ 27 h 27"/>
                                  </a:gdLst>
                                  <a:ahLst/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T12" t="T13" r="T14" b="T15"/>
                                  <a:pathLst>
                                    <a:path w="220" h="27">
                                      <a:moveTo>
                                        <a:pt x="0" y="0"/>
                                      </a:moveTo>
                                      <a:lnTo>
                                        <a:pt x="110" y="0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220" y="27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Freeform 12">
                                <a:extLst>
                                  <a:ext uri="{FF2B5EF4-FFF2-40B4-BE49-F238E27FC236}">
                                    <a16:creationId xmlns:a16="http://schemas.microsoft.com/office/drawing/2014/main" id="{305C3B91-8F21-4015-A503-E86FDB400045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0" y="1809750"/>
                                  <a:ext cx="581025" cy="1495425"/>
                                </a:xfrm>
                                <a:custGeom>
                                  <a:avLst/>
                                  <a:gdLst>
                                    <a:gd name="T0" fmla="*/ 0 w 220"/>
                                    <a:gd name="T1" fmla="*/ 0 h 27"/>
                                    <a:gd name="T2" fmla="*/ 2147483646 w 220"/>
                                    <a:gd name="T3" fmla="*/ 0 h 27"/>
                                    <a:gd name="T4" fmla="*/ 2147483646 w 220"/>
                                    <a:gd name="T5" fmla="*/ 2147483646 h 27"/>
                                    <a:gd name="T6" fmla="*/ 2147483646 w 220"/>
                                    <a:gd name="T7" fmla="*/ 2147483646 h 27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  <a:gd name="T12" fmla="*/ 0 w 220"/>
                                    <a:gd name="T13" fmla="*/ 0 h 27"/>
                                    <a:gd name="T14" fmla="*/ 220 w 220"/>
                                    <a:gd name="T15" fmla="*/ 27 h 27"/>
                                  </a:gdLst>
                                  <a:ahLst/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T12" t="T13" r="T14" b="T15"/>
                                  <a:pathLst>
                                    <a:path w="220" h="27">
                                      <a:moveTo>
                                        <a:pt x="0" y="0"/>
                                      </a:moveTo>
                                      <a:lnTo>
                                        <a:pt x="110" y="0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220" y="27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Straight Arrow Connector 28">
                                <a:extLst>
                                  <a:ext uri="{FF2B5EF4-FFF2-40B4-BE49-F238E27FC236}">
                                    <a16:creationId xmlns:a16="http://schemas.microsoft.com/office/drawing/2014/main" id="{EC0B2F86-B263-4BA9-A4B6-1E1D222E0586}"/>
                                  </a:ext>
                                </a:extLst>
                              </wps:cNvPr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552575"/>
                                  <a:ext cx="6096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72C91A" id="Group 25" o:spid="_x0000_s1026" style="position:absolute;margin-left:0;margin-top:2.4pt;width:48pt;height:235.2pt;z-index:251658240" coordsize="6096,33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">
                      <v:shape id="Freeform 11" o:spid="_x0000_s1027" style="position:absolute;width:6000;height:13525;visibility:visible;mso-wrap-style:square;v-text-anchor:top" coordsize="220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" path="m,l110,r,27l220,27e" filled="f">
                        <v:stroke endarrow="block" endarrowwidth="narrow" endarrowlength="long"/>
                        <v:path arrowok="t" o:connecttype="custom" o:connectlocs="0,0;2147483646,0;2147483646,2147483646;2147483646,2147483646" o:connectangles="0,0,0,0" textboxrect="0,0,220,27"/>
                      </v:shape>
                      <v:shape id="Freeform 12" o:spid="_x0000_s1028" style="position:absolute;top:18097;width:5810;height:14954;flip:y;visibility:visible;mso-wrap-style:square;v-text-anchor:top" coordsize="220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" path="m,l110,r,27l220,27e" filled="f">
                        <v:stroke endarrow="block" endarrowwidth="narrow" endarrowlength="long"/>
                        <v:path arrowok="t" o:connecttype="custom" o:connectlocs="0,0;2147483646,0;2147483646,2147483646;2147483646,2147483646" o:connectangles="0,0,0,0" textboxrect="0,0,220,27"/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8" o:spid="_x0000_s1029" type="#_x0000_t32" style="position:absolute;top:15525;width:609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">
                        <v:stroke endarrow="block" endarrowwidth="narrow" endarrowlength="long"/>
                      </v:shape>
                    </v:group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2D61BA" w:rsidRPr="002D61BA" w14:paraId="741E18B7" w14:textId="77777777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81B588" w14:textId="77777777" w:rsidR="002D61BA" w:rsidRPr="002D61BA" w:rsidRDefault="002D61BA" w:rsidP="002D61B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val="sr-Cyrl-RS" w:eastAsia="sr-Cyrl-RS"/>
                    </w:rPr>
                  </w:pPr>
                </w:p>
              </w:tc>
            </w:tr>
          </w:tbl>
          <w:p w14:paraId="41A71D7D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2BB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B7A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F0171" w14:textId="2E99C0F5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noProof/>
                <w:color w:val="000000"/>
                <w:sz w:val="22"/>
                <w:lang w:val="sr-Cyrl-RS" w:eastAsia="sr-Cyrl-RS"/>
              </w:rPr>
              <mc:AlternateContent>
                <mc:Choice Requires="wpg">
                  <w:drawing>
                    <wp:anchor distT="0" distB="0" distL="114300" distR="114300" simplePos="0" relativeHeight="251654656" behindDoc="0" locked="0" layoutInCell="1" allowOverlap="1" wp14:anchorId="50E6758B" wp14:editId="49E3434D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30480</wp:posOffset>
                      </wp:positionV>
                      <wp:extent cx="609600" cy="2987040"/>
                      <wp:effectExtent l="38100" t="0" r="19050" b="346710"/>
                      <wp:wrapNone/>
                      <wp:docPr id="20" name="Group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00" cy="3305175"/>
                                <a:chOff x="0" y="0"/>
                                <a:chExt cx="609600" cy="3305175"/>
                              </a:xfrm>
                            </wpg:grpSpPr>
                            <wps:wsp>
                              <wps:cNvPr id="22" name="Freeform 13">
                                <a:extLst>
                                  <a:ext uri="{FF2B5EF4-FFF2-40B4-BE49-F238E27FC236}">
                                    <a16:creationId xmlns:a16="http://schemas.microsoft.com/office/drawing/2014/main" id="{3A091364-1C02-4E72-AEB0-2C8BE055CAED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0" y="0"/>
                                  <a:ext cx="609600" cy="1352550"/>
                                </a:xfrm>
                                <a:custGeom>
                                  <a:avLst/>
                                  <a:gdLst>
                                    <a:gd name="T0" fmla="*/ 0 w 220"/>
                                    <a:gd name="T1" fmla="*/ 0 h 27"/>
                                    <a:gd name="T2" fmla="*/ 2147483646 w 220"/>
                                    <a:gd name="T3" fmla="*/ 0 h 27"/>
                                    <a:gd name="T4" fmla="*/ 2147483646 w 220"/>
                                    <a:gd name="T5" fmla="*/ 2147483646 h 27"/>
                                    <a:gd name="T6" fmla="*/ 2147483646 w 220"/>
                                    <a:gd name="T7" fmla="*/ 2147483646 h 27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  <a:gd name="T12" fmla="*/ 0 w 220"/>
                                    <a:gd name="T13" fmla="*/ 0 h 27"/>
                                    <a:gd name="T14" fmla="*/ 220 w 220"/>
                                    <a:gd name="T15" fmla="*/ 27 h 27"/>
                                  </a:gdLst>
                                  <a:ahLst/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T12" t="T13" r="T14" b="T15"/>
                                  <a:pathLst>
                                    <a:path w="220" h="27">
                                      <a:moveTo>
                                        <a:pt x="0" y="0"/>
                                      </a:moveTo>
                                      <a:lnTo>
                                        <a:pt x="110" y="0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220" y="27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Freeform 14">
                                <a:extLst>
                                  <a:ext uri="{FF2B5EF4-FFF2-40B4-BE49-F238E27FC236}">
                                    <a16:creationId xmlns:a16="http://schemas.microsoft.com/office/drawing/2014/main" id="{D12CEA8E-8ECA-462D-8348-3BE0C9C45428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0" y="1809750"/>
                                  <a:ext cx="609600" cy="1495425"/>
                                </a:xfrm>
                                <a:custGeom>
                                  <a:avLst/>
                                  <a:gdLst>
                                    <a:gd name="T0" fmla="*/ 0 w 220"/>
                                    <a:gd name="T1" fmla="*/ 0 h 27"/>
                                    <a:gd name="T2" fmla="*/ 2147483646 w 220"/>
                                    <a:gd name="T3" fmla="*/ 0 h 27"/>
                                    <a:gd name="T4" fmla="*/ 2147483646 w 220"/>
                                    <a:gd name="T5" fmla="*/ 2147483646 h 27"/>
                                    <a:gd name="T6" fmla="*/ 2147483646 w 220"/>
                                    <a:gd name="T7" fmla="*/ 2147483646 h 27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  <a:gd name="T12" fmla="*/ 0 w 220"/>
                                    <a:gd name="T13" fmla="*/ 0 h 27"/>
                                    <a:gd name="T14" fmla="*/ 220 w 220"/>
                                    <a:gd name="T15" fmla="*/ 27 h 27"/>
                                  </a:gdLst>
                                  <a:ahLst/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T12" t="T13" r="T14" b="T15"/>
                                  <a:pathLst>
                                    <a:path w="220" h="27">
                                      <a:moveTo>
                                        <a:pt x="0" y="0"/>
                                      </a:moveTo>
                                      <a:lnTo>
                                        <a:pt x="110" y="0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220" y="27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Straight Arrow Connector 24">
                                <a:extLst>
                                  <a:ext uri="{FF2B5EF4-FFF2-40B4-BE49-F238E27FC236}">
                                    <a16:creationId xmlns:a16="http://schemas.microsoft.com/office/drawing/2014/main" id="{76C9B057-4907-4DFE-8D57-DA441559D808}"/>
                                  </a:ext>
                                </a:extLst>
                              </wps:cNvPr>
                              <wps:cNvCnPr>
                                <a:cxnSpLocks noChangeShapeType="1"/>
                              </wps:cNvCnPr>
                              <wps:spPr bwMode="auto">
                                <a:xfrm rot="10800000">
                                  <a:off x="9525" y="1571625"/>
                                  <a:ext cx="60007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6E553F" id="Group 20" o:spid="_x0000_s1026" style="position:absolute;margin-left:48pt;margin-top:2.4pt;width:48pt;height:235.2pt;z-index:251658240" coordsize="6096,33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">
                      <v:shape id="Freeform 13" o:spid="_x0000_s1027" style="position:absolute;width:6096;height:13525;flip:x;visibility:visible;mso-wrap-style:square;v-text-anchor:top" coordsize="220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" path="m,l110,r,27l220,27e" filled="f">
                        <v:stroke endarrow="block" endarrowwidth="narrow" endarrowlength="long"/>
                        <v:path arrowok="t" o:connecttype="custom" o:connectlocs="0,0;2147483646,0;2147483646,2147483646;2147483646,2147483646" o:connectangles="0,0,0,0" textboxrect="0,0,220,27"/>
                      </v:shape>
                      <v:shape id="Freeform 14" o:spid="_x0000_s1028" style="position:absolute;top:18097;width:6096;height:14954;flip:x y;visibility:visible;mso-wrap-style:square;v-text-anchor:top" coordsize="220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" path="m,l110,r,27l220,27e" filled="f">
                        <v:stroke endarrow="block" endarrowwidth="narrow" endarrowlength="long"/>
                        <v:path arrowok="t" o:connecttype="custom" o:connectlocs="0,0;2147483646,0;2147483646,2147483646;2147483646,2147483646" o:connectangles="0,0,0,0" textboxrect="0,0,220,27"/>
                      </v:shape>
                      <v:shape id="Straight Arrow Connector 24" o:spid="_x0000_s1029" type="#_x0000_t32" style="position:absolute;left:95;top:15716;width:6001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">
                        <v:stroke endarrow="block" endarrowwidth="narrow" endarrowlength="long"/>
                      </v:shape>
                    </v:group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2D61BA" w:rsidRPr="002D61BA" w14:paraId="22432F5F" w14:textId="77777777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E73759" w14:textId="77777777" w:rsidR="002D61BA" w:rsidRPr="002D61BA" w:rsidRDefault="002D61BA" w:rsidP="002D61B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val="sr-Cyrl-RS" w:eastAsia="sr-Cyrl-RS"/>
                    </w:rPr>
                  </w:pPr>
                </w:p>
              </w:tc>
            </w:tr>
          </w:tbl>
          <w:p w14:paraId="067D016B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184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CFED0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Težinski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faktor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: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85E49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15%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5DF80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C0832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</w:tr>
      <w:tr w:rsidR="002D61BA" w:rsidRPr="002D61BA" w14:paraId="6E1F9C58" w14:textId="77777777" w:rsidTr="002D61BA">
        <w:trPr>
          <w:trHeight w:val="288"/>
        </w:trPr>
        <w:tc>
          <w:tcPr>
            <w:tcW w:w="21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4FC7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Pojedinačna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ocena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: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A855ACA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50.00%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58F8B486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5.00%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25AE9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7B8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DC0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2D6E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699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F4BA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63888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Pojedinačna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ocena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: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3E3A4B5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50.00%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4F3276E4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7.50%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913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</w:tr>
      <w:tr w:rsidR="002D61BA" w:rsidRPr="002D61BA" w14:paraId="695A22C2" w14:textId="77777777" w:rsidTr="002D61BA">
        <w:trPr>
          <w:trHeight w:val="3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DD221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32711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E59F1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D572D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5774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5CB9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408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7C79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FE7A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7EE8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695AD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8BF26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A0293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19F37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C458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</w:tr>
      <w:tr w:rsidR="002D61BA" w:rsidRPr="002D61BA" w14:paraId="240CBEFC" w14:textId="77777777" w:rsidTr="002D61BA">
        <w:trPr>
          <w:trHeight w:val="30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44E8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694D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0F7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F597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D86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349B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F472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93E9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132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9E8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43B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60F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E72C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69CD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3F8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EA1E26F" w14:textId="77777777" w:rsidTr="002D61BA">
        <w:trPr>
          <w:trHeight w:val="312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86D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CAFE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544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E674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CFFE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3584E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F7211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7C5D4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11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4DD0CB8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D92E3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8D01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453C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EED6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783A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9C3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099B22A5" w14:textId="77777777" w:rsidTr="002D61BA">
        <w:trPr>
          <w:trHeight w:val="288"/>
        </w:trPr>
        <w:tc>
          <w:tcPr>
            <w:tcW w:w="415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78A5FA" w14:textId="77777777" w:rsidR="002D61BA" w:rsidRPr="002D61BA" w:rsidRDefault="002D61BA" w:rsidP="002D61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</w:pP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Lokalna</w:t>
            </w:r>
            <w:proofErr w:type="spellEnd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samouprava</w:t>
            </w:r>
            <w:proofErr w:type="spellEnd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 xml:space="preserve"> - </w:t>
            </w: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Osnivač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41FCA" w14:textId="77777777" w:rsidR="002D61BA" w:rsidRPr="002D61BA" w:rsidRDefault="002D61BA" w:rsidP="002D61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</w:pPr>
          </w:p>
        </w:tc>
        <w:tc>
          <w:tcPr>
            <w:tcW w:w="4104" w:type="dxa"/>
            <w:gridSpan w:val="4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5C47C85" w14:textId="77777777" w:rsidR="002D61BA" w:rsidRPr="002D61BA" w:rsidRDefault="002D61BA" w:rsidP="002D61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</w:pP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Konačna</w:t>
            </w:r>
            <w:proofErr w:type="spellEnd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ocena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9E8FD" w14:textId="77777777" w:rsidR="002D61BA" w:rsidRPr="002D61BA" w:rsidRDefault="002D61BA" w:rsidP="002D61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</w:pPr>
          </w:p>
        </w:tc>
        <w:tc>
          <w:tcPr>
            <w:tcW w:w="395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9BF053" w14:textId="77777777" w:rsidR="002D61BA" w:rsidRPr="002D61BA" w:rsidRDefault="002D61BA" w:rsidP="002D61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</w:pP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Poslovi</w:t>
            </w:r>
            <w:proofErr w:type="spellEnd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nadzora</w:t>
            </w:r>
            <w:proofErr w:type="spellEnd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 xml:space="preserve">, </w:t>
            </w: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kontrole</w:t>
            </w:r>
            <w:proofErr w:type="spellEnd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 xml:space="preserve"> i </w:t>
            </w: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eksterne</w:t>
            </w:r>
            <w:proofErr w:type="spellEnd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revizije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85C2" w14:textId="77777777" w:rsidR="002D61BA" w:rsidRPr="002D61BA" w:rsidRDefault="002D61BA" w:rsidP="002D61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</w:pPr>
          </w:p>
        </w:tc>
      </w:tr>
      <w:tr w:rsidR="002D61BA" w:rsidRPr="002D61BA" w14:paraId="4B4BBB6D" w14:textId="77777777" w:rsidTr="002D61BA">
        <w:trPr>
          <w:trHeight w:val="288"/>
        </w:trPr>
        <w:tc>
          <w:tcPr>
            <w:tcW w:w="415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1F8CCC24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03D6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41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C02E00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1757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395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42A4D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79E2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B4875BD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21C57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03FB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8DDF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Standard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68E1B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A9CD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D1163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Standard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310DCBC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Pojedinačna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ocena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0BCA3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196BB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0426D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15CE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Standard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E613D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6676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</w:tr>
      <w:tr w:rsidR="002D61BA" w:rsidRPr="002D61BA" w14:paraId="3B76CF10" w14:textId="77777777" w:rsidTr="002D61BA">
        <w:trPr>
          <w:trHeight w:val="288"/>
        </w:trPr>
        <w:tc>
          <w:tcPr>
            <w:tcW w:w="21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A855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Težinski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faktor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: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8219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20.00%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ABBEB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8011D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F67BD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B8BF7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52F1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61C4D37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AF1E1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DEF60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Težinski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faktor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: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4F6E9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20%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13BF7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614BF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</w:tr>
      <w:tr w:rsidR="002D61BA" w:rsidRPr="002D61BA" w14:paraId="6E1876F3" w14:textId="77777777" w:rsidTr="002D61BA">
        <w:trPr>
          <w:trHeight w:val="288"/>
        </w:trPr>
        <w:tc>
          <w:tcPr>
            <w:tcW w:w="21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25B59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Pojedinačna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ocena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: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A74A90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50.00%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37E43900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10.00%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B81CD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C5F7648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100%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975B5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7A8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0000"/>
            <w:noWrap/>
            <w:vAlign w:val="bottom"/>
            <w:hideMark/>
          </w:tcPr>
          <w:p w14:paraId="44AA0B05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50.00%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59C54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105E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Pojedinačna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ocena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: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AFB56C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50.00%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7DCFD0D0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10.00%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C0F0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</w:tr>
      <w:tr w:rsidR="002D61BA" w:rsidRPr="002D61BA" w14:paraId="0CFA0FF2" w14:textId="77777777" w:rsidTr="002D61BA">
        <w:trPr>
          <w:trHeight w:val="3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83839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1A491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341EB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495C9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30973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E5AEB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2B08E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C007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D1BB17F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5392B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F03E8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5BA97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40E7F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CD73B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DC01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</w:tr>
      <w:tr w:rsidR="002D61BA" w:rsidRPr="002D61BA" w14:paraId="7A1A3120" w14:textId="77777777" w:rsidTr="002D61BA">
        <w:trPr>
          <w:trHeight w:val="30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7AD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0B38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4E97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E1BE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4F4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C0369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B7CBA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CE481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0570926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6B9F0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822C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BDAA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F295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1695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3D33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4FA13F45" w14:textId="77777777" w:rsidTr="002D61BA">
        <w:trPr>
          <w:trHeight w:val="312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BA48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33A9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762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214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ED8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BE0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8FF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F42F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773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2340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2A91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E9CB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E265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2A57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36EE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BFB9FC4" w14:textId="77777777" w:rsidTr="002D61BA">
        <w:trPr>
          <w:trHeight w:val="288"/>
        </w:trPr>
        <w:tc>
          <w:tcPr>
            <w:tcW w:w="415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05273C" w14:textId="77777777" w:rsidR="002D61BA" w:rsidRPr="002D61BA" w:rsidRDefault="002D61BA" w:rsidP="002D61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</w:pP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Nadzorni</w:t>
            </w:r>
            <w:proofErr w:type="spellEnd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odbor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F1B95" w14:textId="77777777" w:rsidR="002D61BA" w:rsidRPr="002D61BA" w:rsidRDefault="002D61BA" w:rsidP="002D61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22DD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4B38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7D42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9A8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71F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395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EC84F8" w14:textId="77777777" w:rsidR="002D61BA" w:rsidRPr="002D61BA" w:rsidRDefault="002D61BA" w:rsidP="002D61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</w:pP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Transparentnost</w:t>
            </w:r>
            <w:proofErr w:type="spellEnd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 xml:space="preserve"> i </w:t>
            </w: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javnost</w:t>
            </w:r>
            <w:proofErr w:type="spellEnd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  <w:t>poslovanja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5E415" w14:textId="77777777" w:rsidR="002D61BA" w:rsidRPr="002D61BA" w:rsidRDefault="002D61BA" w:rsidP="002D61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</w:pPr>
          </w:p>
        </w:tc>
      </w:tr>
      <w:tr w:rsidR="002D61BA" w:rsidRPr="002D61BA" w14:paraId="52F4811D" w14:textId="77777777" w:rsidTr="002D61BA">
        <w:trPr>
          <w:trHeight w:val="288"/>
        </w:trPr>
        <w:tc>
          <w:tcPr>
            <w:tcW w:w="415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5F2D0D80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BC58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5F10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BF1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85A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446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A794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395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CA265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CD3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4A29F330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A1B37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2D31D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9D9F9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Standard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C0884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6860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FC1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B210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ECA2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D43D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109A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A82F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CDC5B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5B42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Standard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FE8C4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6F5C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</w:tr>
      <w:tr w:rsidR="002D61BA" w:rsidRPr="002D61BA" w14:paraId="36F5763E" w14:textId="77777777" w:rsidTr="002D61BA">
        <w:trPr>
          <w:trHeight w:val="288"/>
        </w:trPr>
        <w:tc>
          <w:tcPr>
            <w:tcW w:w="21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35F50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Težinski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faktor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: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68F6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15%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38A99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8D258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A4DB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5285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AC4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2363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6DEC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E6438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Težinski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faktor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: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79AF4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20%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0379E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6BFC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</w:tr>
      <w:tr w:rsidR="002D61BA" w:rsidRPr="002D61BA" w14:paraId="0D6E3950" w14:textId="77777777" w:rsidTr="002D61BA">
        <w:trPr>
          <w:trHeight w:val="288"/>
        </w:trPr>
        <w:tc>
          <w:tcPr>
            <w:tcW w:w="21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5FE3F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Pojedinačna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ocena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: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B76292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50.00%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4D4D50E9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7.50%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CB45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3DAA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0DA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B91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318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964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D356F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Pojedinačna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 xml:space="preserve"> </w:t>
            </w:r>
            <w:proofErr w:type="spellStart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ocena</w:t>
            </w:r>
            <w:proofErr w:type="spellEnd"/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: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517A9E9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sr-Cyrl-RS"/>
              </w:rPr>
              <w:t>50.00%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77DE072A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10.00%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5C6F4" w14:textId="77777777" w:rsidR="002D61BA" w:rsidRPr="002D61BA" w:rsidRDefault="002D61BA" w:rsidP="002D6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</w:tr>
      <w:tr w:rsidR="002D61BA" w:rsidRPr="002D61BA" w14:paraId="1D787206" w14:textId="77777777" w:rsidTr="002D61BA">
        <w:trPr>
          <w:trHeight w:val="3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96E27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3C1EF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3B9A7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60E9E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B79CD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C5C0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2647B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C5E3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54B0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C939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75409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FB5FB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560C9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EC980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4FC1B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</w:tr>
      <w:tr w:rsidR="002D61BA" w:rsidRPr="002D61BA" w14:paraId="6E35B450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1E5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767A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0B4D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7161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6623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2C23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21AA3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CAD0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5611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B36F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08E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B679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17FC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5F3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C45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2BE6556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34D3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4E21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3247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9B57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3EC8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BD6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FFE165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6DCBF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6B6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6E92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AC47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365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457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671C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6B5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D78EC47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287EF" w14:textId="12BC995B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2D61BA" w:rsidRPr="002D61BA" w14:paraId="71D230A3" w14:textId="77777777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5A0AF" w14:textId="77777777" w:rsidR="002D61BA" w:rsidRPr="002D61BA" w:rsidRDefault="002D61BA" w:rsidP="002D61B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val="sr-Cyrl-RS" w:eastAsia="sr-Cyrl-RS"/>
                    </w:rPr>
                  </w:pPr>
                </w:p>
              </w:tc>
            </w:tr>
          </w:tbl>
          <w:p w14:paraId="27A0DFF7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CDF3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C550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377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80AC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3F3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E5FDB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02ACE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6D6F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6E3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0C9D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D84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145E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468C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5097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1D8EE198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D35A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0746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D7AD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680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66BB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E6A5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3AF2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5F2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3C2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92CE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BF6A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1432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8E4C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DDBC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4EC0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49017C6B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480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1D2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BDDC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AE4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CB7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366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BA4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2EE3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AB4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A563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AE43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B53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5E10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63A0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D2E2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B28E255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EE95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9971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68FA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868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D8B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CA3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42CE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B49E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DD37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5715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8ED0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96C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87EE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95FE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1D22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9350838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FDCD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8685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7C6F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7F6A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D214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19F3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E53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3503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DF2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326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BA0D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2E0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3433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872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C75E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13409A49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9479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CB12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495E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EDD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F632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B369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A28E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F1A6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B30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472E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7CDB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FD9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C32F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D096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E60B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2B249CB1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B922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8FE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47CA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673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8751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FC1D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C964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DB96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39E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0F19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12C6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89F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6B00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F56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06FF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3BBF9F9A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C081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F59B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2530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AD5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465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9452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C33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6EE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FCB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1066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F2BB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D730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1F7E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538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0412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3176500B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A02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BD6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4EBF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D2A8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BDE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535D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F99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6BFF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F43B8" w14:textId="53A6F3F1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5AD4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568E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6B6F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6196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8EE5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B5CD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AAA04D1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93F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EF4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239E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375E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1BB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A5F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33CB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0A9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C92C9" w14:textId="33A1AD30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DE8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0625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89AA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378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225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690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0666337E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B1B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D4E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6D76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214F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D27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5E6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4A5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A22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EBB1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C4F4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A1C2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7CBD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69F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6175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ACF0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65E8CAE6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0F5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42B2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8D5E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3E5F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6B7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A285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B01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CFA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6F73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75E9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382C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C8BD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DB3D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E95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D17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A1D0742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CBF6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E6A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C26A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C50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7023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068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3B5F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8E32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426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5517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30DF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C488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1D9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5F1D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4E0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1904E92F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C48F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0B5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7D9C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9901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871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F604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74F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9FF6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7B37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93A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3D9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8EF3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0CE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0B0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7C59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2A9CA999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7F0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0DA6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89D8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2FB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59F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04F4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F14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ADC2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D8AB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0BD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6C30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5922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5BB0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322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FA86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4F7A8AF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32A2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C0C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1C0F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13B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4A9A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DF7A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3EA5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2B9F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296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CF2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CAFC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FB17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7219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0095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97D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28A8A7ED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276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6E9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9637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1F0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4417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D68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313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3F6F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5D5A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D19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915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8218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A3CB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ECD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662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6C464D38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01D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9D2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75B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250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3EA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786F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102E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91D9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173E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9939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08C3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0951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37AA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52B7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430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67C1C71A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D552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8A41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BE7E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CC2A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D89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6C53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9BCE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D56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462D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12E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C2E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8DA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21DE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2FA4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7F57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986CCE0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0299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8EE2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6B7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C6BD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9B6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0BF8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29E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3916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EF2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BFFF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551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D7A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138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D0C4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627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02789DC1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8F8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2C4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13BE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49E2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359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4898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3DC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73862" w14:textId="02313A70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D99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9AB4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8D1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058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27D3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357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10C1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A9C19FD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8A3B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A2F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09A8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599A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5006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E1E2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AB3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EF12" w14:textId="24BAA6DE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749F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CCE6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6FC7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FC4D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FF4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4808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130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0D1E4EAF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DDC5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B093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565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811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FE52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72A4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D3A6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6A177" w14:textId="5C321E69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D2B7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9813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0220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6662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9801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ECB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F3B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41D7866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D409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33FA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E24B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25C2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842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7F44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31F2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F39CA" w14:textId="46E95445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noProof/>
                <w:color w:val="000000"/>
                <w:sz w:val="22"/>
                <w:lang w:val="sr-Cyrl-RS" w:eastAsia="sr-Cyrl-RS"/>
              </w:rPr>
              <w:drawing>
                <wp:anchor distT="0" distB="0" distL="114300" distR="114300" simplePos="0" relativeHeight="251655680" behindDoc="0" locked="0" layoutInCell="1" allowOverlap="1" wp14:anchorId="3438260C" wp14:editId="5D94B7AA">
                  <wp:simplePos x="0" y="0"/>
                  <wp:positionH relativeFrom="column">
                    <wp:posOffset>-4828540</wp:posOffset>
                  </wp:positionH>
                  <wp:positionV relativeFrom="paragraph">
                    <wp:posOffset>-5427345</wp:posOffset>
                  </wp:positionV>
                  <wp:extent cx="8854440" cy="3848100"/>
                  <wp:effectExtent l="0" t="0" r="3810" b="0"/>
                  <wp:wrapNone/>
                  <wp:docPr id="12" name="Chart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E845209-A227-4A95-A26B-AE37C6A18E9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291EE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65FC8705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3013CED3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236118F7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404FB2BB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2F78C751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0E92B741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13CE0E92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3A931B6C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02C2B2AC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631ED4E9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59B36260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7E150EE3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78C8E8AD" w14:textId="51D1F0F0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31D1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F2ED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4FF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8960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FB32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9A72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29CB381E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D1F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40D0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4C20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489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5042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E101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BD86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10E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431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F511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149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40F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1D5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A79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41D0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AE07282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499CE" w14:textId="60D765F0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noProof/>
                <w:color w:val="000000"/>
                <w:sz w:val="22"/>
                <w:lang w:val="sr-Cyrl-RS" w:eastAsia="sr-Cyrl-RS"/>
              </w:rPr>
              <w:drawing>
                <wp:anchor distT="0" distB="0" distL="114300" distR="114300" simplePos="0" relativeHeight="251656704" behindDoc="0" locked="0" layoutInCell="1" allowOverlap="1" wp14:anchorId="691857F3" wp14:editId="3C569679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30480</wp:posOffset>
                  </wp:positionV>
                  <wp:extent cx="8862060" cy="3848100"/>
                  <wp:effectExtent l="0" t="0" r="15240" b="0"/>
                  <wp:wrapNone/>
                  <wp:docPr id="11" name="Chart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7A294E6-E369-48DB-A255-7FC9AAF19FBB}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2D61BA" w:rsidRPr="002D61BA" w14:paraId="378747BA" w14:textId="77777777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FD7BE8" w14:textId="77777777" w:rsidR="002D61BA" w:rsidRPr="002D61BA" w:rsidRDefault="002D61BA" w:rsidP="002D61B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val="sr-Cyrl-RS" w:eastAsia="sr-Cyrl-RS"/>
                    </w:rPr>
                  </w:pPr>
                </w:p>
              </w:tc>
            </w:tr>
          </w:tbl>
          <w:p w14:paraId="5BD7793E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351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8669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52B7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4D7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7B52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6F7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ACB7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E29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D511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D76F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A9D4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F9C4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A5B0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4021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447A54A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DCB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20DB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4CAC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B91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EAFE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226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DD4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EEC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EC13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6D17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E997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1A03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BB30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0AA3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E545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6F6A3351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ED7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939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D4D0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3BE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848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E21C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312E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A186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7802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779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F67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C895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06A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F52B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42D4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2BEDC60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F968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F6DD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FFE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5ED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81A8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D636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94D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43A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B95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FA1A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A8C3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20B6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D083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1525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FBE9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3AEBC08F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939F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E86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0C26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0DD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1ABF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F26E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55A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659B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3D0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936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4AA5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669D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778C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261E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F0C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E408332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7059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F45C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CDA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F282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C70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56CE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FCDA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7E6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085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B48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C33C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A453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EBA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98B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98FD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3773C71D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60FA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412B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F29D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5B11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B26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732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9BFE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3592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F35F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D23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E7C7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AD8E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0A5D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6BCE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9288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65E31286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6CB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A7A4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1098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218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660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CEB8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4F49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D89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037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4B5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C2C2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367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82A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E6D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7E6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44F26182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A7CD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107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5BF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AA0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E18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6C6C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3762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F40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BBA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3E81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B558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DFFF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1058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E471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9190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C111513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3A02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CF8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D8CA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440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18EF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CD2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38F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655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9BB1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BE85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DB3F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DDA7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2782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F64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C771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681012CC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27FC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A5B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BAAA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DEF9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CDBB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5C0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5D40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32B8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A2CA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0664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6B3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B159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912C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62D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2E10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1D419A4B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E17F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423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DA0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81D7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FB07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23AC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7A7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844C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46C4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B9B5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47F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C5B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F0E8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BFD5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FA2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39CEAA79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F21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BEA5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F0C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44AA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0B74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9A4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335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599B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737A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E0B2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DE38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F8E0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7D13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334A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7D18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9CB68A8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A9D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76F2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1272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6FAA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A8E3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FB57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7BD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A60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B2A3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030A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CC2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4014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2420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C180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3A12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3ECF3EEB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D40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569C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277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2FBD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621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7963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A0E0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D54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8B6E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894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B48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94DF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320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0CB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077C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58741F0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975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4840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9F80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001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52A8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1FD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2CD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98A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C392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892B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217C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133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8403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3D8F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5FE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0F4B16B8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7B4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9D5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F520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4DA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0DBC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17C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BC2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D3C9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9989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E98E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2EB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995D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7E7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EBD3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E28A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4EB5B2F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3483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48B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13D9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3EBB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7D2D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0040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5C4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362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997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E97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23AC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2DB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0F7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D6C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9172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4B57E11F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6169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E0DF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14B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B0D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BAF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F4D0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076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A57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9509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4CD6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9A70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04D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A0E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B121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A5F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691EC322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4428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9B7F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481E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7A9A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30F9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A74C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F4E2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6608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0CDA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ED15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0F34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0F4D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E534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E470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B44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69A34551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EA2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3F59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B13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C4AC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D710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7323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C1F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8039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E9B4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81AD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B2D8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A7E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DE7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5DA3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394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0E1DAA8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287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92B1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7BA0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49E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AC35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5933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62F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6CF69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183B52F3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46A06675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713E2E04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1777F313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0888319E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2E5B9E0B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02478FC3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02D03016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0843C50F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25ACADC2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1D79C013" w14:textId="2AEB7322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A4A6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3A4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660E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F5C3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D17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CDB0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C7D5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2ADE15C9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E4DA1" w14:textId="4E729C71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noProof/>
                <w:color w:val="000000"/>
                <w:sz w:val="22"/>
                <w:lang w:val="sr-Cyrl-RS" w:eastAsia="sr-Cyrl-RS"/>
              </w:rPr>
              <w:lastRenderedPageBreak/>
              <w:drawing>
                <wp:anchor distT="0" distB="0" distL="114300" distR="114300" simplePos="0" relativeHeight="251657728" behindDoc="0" locked="0" layoutInCell="1" allowOverlap="1" wp14:anchorId="65F2EAF4" wp14:editId="3047D2E6">
                  <wp:simplePos x="0" y="0"/>
                  <wp:positionH relativeFrom="column">
                    <wp:posOffset>198120</wp:posOffset>
                  </wp:positionH>
                  <wp:positionV relativeFrom="paragraph">
                    <wp:posOffset>182880</wp:posOffset>
                  </wp:positionV>
                  <wp:extent cx="8854440" cy="3848100"/>
                  <wp:effectExtent l="0" t="0" r="3810" b="0"/>
                  <wp:wrapNone/>
                  <wp:docPr id="13" name="Chart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412E719-E363-4216-BF02-3A396A01148B}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2D61BA" w:rsidRPr="002D61BA" w14:paraId="5C0D6AAD" w14:textId="77777777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44D0DD" w14:textId="77777777" w:rsidR="002D61BA" w:rsidRPr="002D61BA" w:rsidRDefault="002D61BA" w:rsidP="002D61B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val="sr-Cyrl-RS" w:eastAsia="sr-Cyrl-RS"/>
                    </w:rPr>
                  </w:pPr>
                </w:p>
              </w:tc>
            </w:tr>
          </w:tbl>
          <w:p w14:paraId="09C25820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B7EF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2C48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B0E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0A44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C08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117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C716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285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9CB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774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419E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208A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3042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0E0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7C73C91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816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048C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EE4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7FAC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D2D0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4C22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1C6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7B9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5659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61C0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D324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E6E1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226D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190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2760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64D4E659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B65D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E907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26C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7C9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EF1B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AD7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69F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D19F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6A7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2CDC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D9C9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4CE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E244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E87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D4FA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0AD2C45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BEC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6E9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4A88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2D41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FF9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6B1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B3BA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C2C4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BFCA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96D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C561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FEC6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E84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3EC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B86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3DA38AD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83FA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31B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55F9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18B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0F28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615E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942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7E72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B791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2455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2BE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FAB7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19B5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51C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A9B0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266C51C8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4AF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1EB5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CA2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250A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FFF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A24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4926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07E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44D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EC1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CC4C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5433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118D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7A8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323A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0D0DA09F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A266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C82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993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BD2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469C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73E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DF7F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2A7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C8EE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7AA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4413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7975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470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1FB3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FE8A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045F65ED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A5B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E236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9EF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E3B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C8F1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B5A5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5EA1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35F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975D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A3BF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AD5B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65BE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04EC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B52C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298D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18D6BDB1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5F07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F37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1DD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383C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A97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AA4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FFED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8B6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351A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00A5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B9C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5C3E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9997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1193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0DA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3B462BE0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F99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F069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79D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92B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BEC2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01E8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063B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ECF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9CF1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AD17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2A4D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811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C63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F0B2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A1C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317B47A4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E042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1DC2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6ABE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E064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A1B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2A28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0EB1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8462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7E36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B470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926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D33B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5B33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A417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5A4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18156B9E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8283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4E7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B7F8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741E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7B35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504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595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BEBC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A36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5E24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7C64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E095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A13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CF8A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9B7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64FC608B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4D2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20F2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4A6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EF0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43CA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AD9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EC0D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9C8E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D586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457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4B6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7AD9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A9D5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2201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E3C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088F50E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0910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8C64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B07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7A9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663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4B4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D43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CB5B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3293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1A5C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D25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ED73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2B4F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4D3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3957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3D408D9E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DEE3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269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A9B4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57D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DE2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2F68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85EC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BC6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EBF9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A13A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905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A3D4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EB6E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C508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B22B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101C274D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5C1E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BF2F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59F5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F894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14D9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B796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DE19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4A1B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CE25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3FCE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AB0F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4D02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20D6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9333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D7B3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0854DC3B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6B7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2D04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01C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A5F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805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18FB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B1A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40C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64A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8FD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D334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3F9A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B95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B01A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A05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1345937B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17BA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B22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FFDE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D52E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222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29DD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3EB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C63A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8B23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A0E6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722C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810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843E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2D44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B6E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9D6D020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7A2E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8F1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CD9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776E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9030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653E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74E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7988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398B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648E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75DA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1593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62A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C978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EC6A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27A45C0A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39F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B602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433B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20B1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04FF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9868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BFA2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7D08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8A82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7046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E9E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C6B7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4022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B1E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1BA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D87B9A0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AFF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89B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3374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BB4C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2C29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9FE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534B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DA6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6D8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65C5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05BB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ADEE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48C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0890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F5D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372F3D72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939B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9095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F85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D283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C4EF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788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1C2B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85FE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881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5023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3C6F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58FE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9EE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4E63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D87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603BF721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027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BCCE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136B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51D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726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3176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C9A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5A91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F9BC4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344239E8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7DBDB6C3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4EF9AC17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069968D7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2AD98C19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1BDB5472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580F2254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68D40CA4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58BDB731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398881F4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042D9757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5FF1C176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7605A635" w14:textId="6413A019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635F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02D9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2389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3172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585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96F3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47D61B06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93A3" w14:textId="7660BC6B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noProof/>
                <w:color w:val="000000"/>
                <w:sz w:val="22"/>
                <w:lang w:val="sr-Cyrl-RS" w:eastAsia="sr-Cyrl-RS"/>
              </w:rPr>
              <w:lastRenderedPageBreak/>
              <w:drawing>
                <wp:anchor distT="0" distB="0" distL="114300" distR="114300" simplePos="0" relativeHeight="251658752" behindDoc="0" locked="0" layoutInCell="1" allowOverlap="1" wp14:anchorId="332C7F23" wp14:editId="19A55265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45720</wp:posOffset>
                  </wp:positionV>
                  <wp:extent cx="8938260" cy="4465320"/>
                  <wp:effectExtent l="0" t="0" r="15240" b="11430"/>
                  <wp:wrapNone/>
                  <wp:docPr id="14" name="Chart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6D8391C-7F9F-406E-AA87-06D279016B6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2D61BA" w:rsidRPr="002D61BA" w14:paraId="69A1A8B4" w14:textId="77777777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20CE93" w14:textId="77777777" w:rsidR="002D61BA" w:rsidRPr="002D61BA" w:rsidRDefault="002D61BA" w:rsidP="002D61B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val="sr-Cyrl-RS" w:eastAsia="sr-Cyrl-RS"/>
                    </w:rPr>
                  </w:pPr>
                </w:p>
              </w:tc>
            </w:tr>
          </w:tbl>
          <w:p w14:paraId="79D1F048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F3C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788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4849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D77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8FF8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023C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708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69E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86F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0CF8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7828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67BE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B71F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F8A3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0CFAD43E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7941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FBB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9A98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FC3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1DA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B6EA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C8F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7E86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794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88C0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0F6D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A20B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7114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E57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5550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7804B8C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0FF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339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E0E8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08B5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6B5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B6B9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BD6F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FB1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FCD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ADF1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DC7F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B25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06CE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DE6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B3B5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04B1F52C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F3D1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446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A5EE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8CFE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33B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39B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1F95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6D40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A39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439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36FB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0947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D92A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9AD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4B86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6EC14221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589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EC79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BB5C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AAC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57EC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EBD1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8F8C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4AB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7B5C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895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0C2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E2F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884D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93B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8805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0A65CEE9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DDB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1E9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173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97D5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ADBA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ABF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317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A7D5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647E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1E4C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1868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378C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6FC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B90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061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282D1D90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F897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D61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67F2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E1D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0C30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8063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452A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0AF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887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C03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2551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8CC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83E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D9F7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5A3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2567BA48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3D84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1A2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FA8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B73D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2A8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6BAA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9B6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3EA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2E6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C81D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973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A93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3B92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07A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973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CEFCBFA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21BB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D56B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057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8A6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4B25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79E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07E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A345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5CEC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9BF5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D744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25FD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3C71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8E31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BE1B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7BA99DD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1182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7697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55B4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BD8C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7713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B2D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42A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A5C0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8DA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2B1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29B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BCC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1F7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4F80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C3DC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46A2A939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915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CF0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024E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889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B827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9BE6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9D90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774B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CA3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F7E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054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F62D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ED1D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8D0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4202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B90DD59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2D1D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E32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D11A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B51D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F8FF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5E3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5C81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8E45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D490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786C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B70F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89AC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78EB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B50C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FE7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13DFE43A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8746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566F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AB36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1EC7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A180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B8C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738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E0F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B5F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22BE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64C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F54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42F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90BB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591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A641B10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3530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D6E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523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94DE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C65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B407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4AE5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C6F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D2A7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347C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4DB9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8B18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E7B8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BA6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9D4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F09528F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265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458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EEE6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C46B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08B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8E79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71A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660D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F042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AB5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A82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2DCE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343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B35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2D60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2DC38DE1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228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5473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9E41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041C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B5E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A0D2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7476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B9AD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F916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127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69CC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2D3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F23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3A9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84E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BCBEA6E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CE6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FAD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BF78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CAD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255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1846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1185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BE6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B739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89E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1EB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2A1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016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DDEF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47F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DEF0E49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D690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3477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D88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932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A473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9D8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97B9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710E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FEE2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C9D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E68F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D7FE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FC4C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478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FF17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6DFF5C55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3FF3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345E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CEBE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3FAD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A6A0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2BF0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633C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056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5FFE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7B4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0AF9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C8C5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1D6A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A83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93BF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F95290D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19A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2B70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F9D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310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B7E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4BA4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95C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CE40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4E0D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1B0E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D6FC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7077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C4C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746F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AD25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186C233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4CDC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623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37C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2FB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DC94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EF3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D30E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A192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319E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542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6C80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3FA4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36F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CEFF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32A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8EF63FB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50BD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45E4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1601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640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F19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BB71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B149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0CF2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C1C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4C2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6CD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9055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EABE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5A54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3091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91418F6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B84B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FA6D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723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D2E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514D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17F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F9B7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B456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26B0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14AA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ACC3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8BC6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FDF1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EF10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EB7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0CF1DC3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8D8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418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4844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391A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68E4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DFE6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CA5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37C8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B90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3430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EEBD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B370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BEFA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421B5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5D33236F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6287745D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5896CF12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146E8D42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28A5A3AF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14D81DF1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4B6B733F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1914A329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47F5FC87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7F0C07C0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40C58BCC" w14:textId="42E5A58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0D88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1B88C463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5AB9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3987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EF5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5A0F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C3F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455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49CD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426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D9F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7A89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E7D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C23A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098B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25D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B1A3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4B9CC6ED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C3BB" w14:textId="1610985C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noProof/>
                <w:color w:val="000000"/>
                <w:sz w:val="22"/>
                <w:lang w:val="sr-Cyrl-RS" w:eastAsia="sr-Cyrl-RS"/>
              </w:rPr>
              <w:drawing>
                <wp:anchor distT="0" distB="0" distL="114300" distR="114300" simplePos="0" relativeHeight="251659776" behindDoc="0" locked="0" layoutInCell="1" allowOverlap="1" wp14:anchorId="4D163C27" wp14:editId="3176B112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91440</wp:posOffset>
                  </wp:positionV>
                  <wp:extent cx="8930640" cy="3855720"/>
                  <wp:effectExtent l="0" t="0" r="3810" b="11430"/>
                  <wp:wrapNone/>
                  <wp:docPr id="15" name="Chart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7DDD55F-6631-48EF-BCBD-B158000688A2}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2D61BA" w:rsidRPr="002D61BA" w14:paraId="51217669" w14:textId="77777777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7BDEDC" w14:textId="77777777" w:rsidR="002D61BA" w:rsidRPr="002D61BA" w:rsidRDefault="002D61BA" w:rsidP="002D61B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val="sr-Cyrl-RS" w:eastAsia="sr-Cyrl-RS"/>
                    </w:rPr>
                  </w:pPr>
                </w:p>
              </w:tc>
            </w:tr>
          </w:tbl>
          <w:p w14:paraId="0BC887D8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19F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046C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7654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4543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FA78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A04C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75B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E365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740B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33D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F7D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B23A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2FBF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B46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106C9949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85C3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E2C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A96E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2FB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B1F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1F79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54CA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A7DD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169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DBAF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DDC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B67A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3256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F278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B4B1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22925142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1368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5849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BE9B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139E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6ACC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3D0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56DF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911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4FCD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786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FF6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FEA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6BB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0237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D5D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D32925C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4200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D783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9E7B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B3C7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353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171F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F06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CEAA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1C6F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B504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2CA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5B8F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4FC6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4934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CEC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3C1A7346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5C1D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B317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4CD7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BFD8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7BC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ABF8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A5C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1D56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4B1E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9AA7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D258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6139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9AC5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746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8C1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6C761023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165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65C7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569A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2858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7AC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5CD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E8C8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058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824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EACA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22CA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EB8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6D8D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689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08E0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FF29548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60E3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D405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AC91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2202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817A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AD2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319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657B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EB3E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7C0B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A091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CAD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E9F7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8F17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3925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A022C9A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DE6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1B07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BB51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F613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057D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829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8C0E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C472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DE6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5F4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2E74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843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DD70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EA3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CA63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1353CDF8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03D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EE8C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528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E44F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1F6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6CAE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2A58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334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D727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8EE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12DC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62C0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97E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75BD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A7E8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1D5B4D42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151E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0B8B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BAA4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08FE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910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1DF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E92E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742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BEE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843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9A81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37B3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B6A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20DA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5ED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470A2212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91F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F013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E1C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F1E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BCC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1A8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966C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151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9454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3170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7FCE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EFAB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550E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D11F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3A7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2BE9FF10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F3A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4B20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42C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3D74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5BD1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40B7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80A6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D4A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21C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771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64B8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B880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D56A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C2E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BD72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408E56FB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C10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B4C6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F141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75D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ECD5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149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8D54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E38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6961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9D6F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821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3ADA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D9A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DD08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5056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1B2E6EB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BA4F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5548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97F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B695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479A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B059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F4C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535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2947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65AF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BB4D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5FF3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CA9A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599B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4C9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30994F2F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1B4F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746D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408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5AC3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B6E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0F47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E3B9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CD9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C33D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D56A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600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E3BA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04E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F00B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AF8D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1EEF6254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F9A5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FB98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D21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09A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668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FCDA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1030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773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057F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6B0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3283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87B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769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E1F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7896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6F42B6C6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BFA8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920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9966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6C9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1DD2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D457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E66C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8DE5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7975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9A4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B8B8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753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DB1E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E508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C0B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3FBFA076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B90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E99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EC7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599C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9EC6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F9F6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25C9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40C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A572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D6D5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8B97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EC9D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11F6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DBEE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0942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0214A2F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BACF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D20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237C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CAB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9D17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F63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15AC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53FD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0A7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56E6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904B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79DA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7E51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67E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B5D9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6CCE4ADC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7C3F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6B5B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5AD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8B64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0A5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AC24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C4F1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25C9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74B8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1E5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B95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E7E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0F2F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5BF1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2C5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DF81949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D61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3965B" w14:textId="37A84FBD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F9C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9FD2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2B21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5BA6B022" w14:textId="77777777" w:rsidR="009165C1" w:rsidRDefault="009165C1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747FB37D" w14:textId="77777777" w:rsidR="009165C1" w:rsidRDefault="009165C1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789E29C8" w14:textId="77777777" w:rsidR="009165C1" w:rsidRDefault="009165C1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679D4ECE" w14:textId="77777777" w:rsidR="009165C1" w:rsidRDefault="009165C1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2A3F48AE" w14:textId="77777777" w:rsidR="009165C1" w:rsidRDefault="009165C1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58C2E1B7" w14:textId="77777777" w:rsidR="009165C1" w:rsidRDefault="009165C1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66323072" w14:textId="77777777" w:rsidR="009165C1" w:rsidRDefault="009165C1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0583C188" w14:textId="77777777" w:rsidR="009165C1" w:rsidRDefault="009165C1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7AEBFC4F" w14:textId="77777777" w:rsidR="009165C1" w:rsidRDefault="009165C1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0662251B" w14:textId="2AA444B1" w:rsidR="009165C1" w:rsidRPr="002D61BA" w:rsidRDefault="009165C1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1F0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20FE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A385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0267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07A4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91F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DBC0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4257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B5CAA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20BE7C53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0ADBB66C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4296A8DC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231E1464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47E5C5D9" w14:textId="77777777" w:rsid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  <w:p w14:paraId="0C2D87BE" w14:textId="54011093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D4B2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0F17FD48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FFB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5664D" w14:textId="3EEAC102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268B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939E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6C7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4EBF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E87C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AC31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B2A3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3AA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7FAD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F6EA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3D3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CD37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A6A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16C2CDCE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C77DE" w14:textId="23101C6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F48C7" w14:textId="30371130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7DEE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FDB6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0C5F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7CD4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B053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4FD4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74C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9B44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E3E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37B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11C3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335B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B72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4E453202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E21F1" w14:textId="507DC1B0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8E6A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669A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916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CC7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E1BD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DD1B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2C9B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278A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C926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8BE6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C3D9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4C0F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AE8F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336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29AD9F13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C56DC" w14:textId="096FEB91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D117C" w14:textId="427F5484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49A8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9677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3171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8FB6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0C36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445D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2EA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DB6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2DF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F99B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8459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36CD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3D8B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1AC98E5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C776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D08DA" w14:textId="15B1C83B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noProof/>
                <w:color w:val="000000"/>
                <w:sz w:val="22"/>
                <w:lang w:val="sr-Cyrl-RS" w:eastAsia="sr-Cyrl-RS"/>
              </w:rPr>
              <w:drawing>
                <wp:anchor distT="0" distB="0" distL="114300" distR="114300" simplePos="0" relativeHeight="251660800" behindDoc="0" locked="0" layoutInCell="1" allowOverlap="1" wp14:anchorId="690E8739" wp14:editId="0868B973">
                  <wp:simplePos x="0" y="0"/>
                  <wp:positionH relativeFrom="column">
                    <wp:posOffset>-1135380</wp:posOffset>
                  </wp:positionH>
                  <wp:positionV relativeFrom="paragraph">
                    <wp:posOffset>47625</wp:posOffset>
                  </wp:positionV>
                  <wp:extent cx="8862060" cy="3863340"/>
                  <wp:effectExtent l="0" t="0" r="15240" b="3810"/>
                  <wp:wrapNone/>
                  <wp:docPr id="16" name="Chart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569DD30-31F2-4A5C-A37F-51C2DB21A6A7}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95EA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0DCC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262E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3DD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36B3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4544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E07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A34E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C95E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F8EC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CD5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3B3D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5FC4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166266C9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2664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9960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FF7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0E37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8D1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8CBD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146E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1A0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54C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97F7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711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7BD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62F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7DF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FC7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18794548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EDF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FA28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B07E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3A9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1DC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B19B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7409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1EB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83D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F806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03B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0D5D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8CE4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821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16F5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4B20776A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3AB7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5CB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640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B12B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93DE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8E82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68E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830F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C80A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59C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5325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8184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8473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1DB2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0776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3940EBF2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1F9A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FEF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A495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4E9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E21C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3687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C4C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6BF4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488E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46FF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281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7515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7BBF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B76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60D1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64C18A8D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86C6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425F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D14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5273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48B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9FF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9B59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8E5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A4D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C574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F47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8951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C194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79A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ED9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BA922FE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D351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76F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F56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6BDF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1CFF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3BE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9F7F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A6E5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B3B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9B70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FFDF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F700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BC2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1FB3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E4F6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307A5574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5EC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1303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4919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22A3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650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F11C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A22D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83FC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26F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B50C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7148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C1D7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4546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7916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29C1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1D677313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00B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EB9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AC2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C80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CA8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995A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ED28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F5AF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5C8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640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05B7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1F40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2D1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DE44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B93F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A820B79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6504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3A73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2AB8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ACC2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F53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76D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77FA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309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AD60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4A2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2773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3EDF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D020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3DCE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38C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3ADE76BB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115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96ED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E942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5CE9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5D6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F7E9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79E8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563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B2B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D48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018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B63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46D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50D9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7BDF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2957F2F4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DB5E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8542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4CD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BB2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919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49C4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C601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FBF8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2991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79B5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E956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7902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0FC8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DBD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4E3E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83877BA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052E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671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00B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D65B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5197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E1B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DEE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314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AB6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19B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0054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852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EEA4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A01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FE38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27D25EA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F19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F6B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407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21F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71F6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67C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5B0A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5F5F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8F62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A9E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FEA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2CF7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E174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F826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056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82FA9BA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46D6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5073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A9A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0DE4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763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F810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4F49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BD3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2AC9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ECF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2D2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E2D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162B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018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9521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4D8C1656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F2F3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256E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D79B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72F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245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7A7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41FE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8722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137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7992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ADCE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A08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0124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98F8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3D2D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4B8EC17B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1BCB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3A7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9834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D2C0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FEDF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6D7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BBD6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FB9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CC96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6CCA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52B6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E21D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541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8543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3BBF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41CC8043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61D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3BDB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EC7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B8D4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E21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96B9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549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5C2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6431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7BE4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BF1E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CF12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602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883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7531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4053BA34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1666D" w14:textId="500C4310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2D61BA" w:rsidRPr="002D61BA" w14:paraId="1ED493B7" w14:textId="77777777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A34680" w14:textId="77777777" w:rsidR="002D61BA" w:rsidRPr="002D61BA" w:rsidRDefault="002D61BA" w:rsidP="002D61B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val="sr-Cyrl-RS" w:eastAsia="sr-Cyrl-RS"/>
                    </w:rPr>
                  </w:pPr>
                </w:p>
              </w:tc>
            </w:tr>
          </w:tbl>
          <w:p w14:paraId="5C3386A8" w14:textId="77777777" w:rsidR="002D61BA" w:rsidRPr="002D61BA" w:rsidRDefault="002D61BA" w:rsidP="002D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1B73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BCA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C059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B23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8C63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8458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126C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AC55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806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AD04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5EE7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B2D6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A2D0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E202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4421D03E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B2E7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343D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E14B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DEEF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4AFE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DF42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934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BB29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E90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BF8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805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961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DE09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052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60E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0355F5FA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AF3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CE6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1487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4CB6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ED2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328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6AA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105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3BAD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4816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4E4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A4D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E567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72FF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63A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459284E8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2D2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3B10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BFED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B492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243F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6630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1C69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CF1A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DA0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B2AA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73A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94C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322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3EE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7451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41B015D8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1944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DD2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290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F641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F78B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693F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841C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F51D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499C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D136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5C2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73C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2A3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2CED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6950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97DFB28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D35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187B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067A6" w14:textId="0E67D6F9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21F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6138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8A88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5B4E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90F4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BF41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F829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11D0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3E81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A3E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CB8A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5AF2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6EABDBC8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9152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D816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9955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3DC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582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A2B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70CF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8632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F99E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974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310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A9B0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524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4505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B7A9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2CCD5BE4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866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1370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9C8B0" w14:textId="6AEEEA86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CF0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7C14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547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C9C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5611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875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F1D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CDD5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EFD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91C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05F6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7FA6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8BD3C44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B0EF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940F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2E06" w14:textId="5500B21E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792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42A0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E473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E9A3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014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0DDC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052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80F6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830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0A8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5769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4A2F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96C3234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DE8D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9C4B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6C33" w14:textId="7913BE06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DFA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BF97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241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8BE4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98D6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84C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AB4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9CF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5FDC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5CF2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E6E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2E5F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CAFC4A2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EE50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6471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301E" w14:textId="05FABC0C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B9A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3065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8E3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D68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22E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1EFA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3BD8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829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CE54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5484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3E54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FA1D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30AAEAFC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788C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6A23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AF2AD" w14:textId="01909F8D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9BA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65F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FBD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5060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417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0115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859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346E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2E8B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6E9E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7536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4BA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4775D48F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58AB5" w14:textId="4E0798C8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70E5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D9EC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138A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F18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D7F5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C2E7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362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0C6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D3CF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85AA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B3FE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EEBA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2B5F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A9D6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4483FB4B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83EC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C2C8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6378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C034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6126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FD4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F41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A325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AADA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4573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22B9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E7D6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D611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34BB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451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565A998A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C480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484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6934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DEF4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404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CB0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244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0B11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70F3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392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38E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4B8F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784B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A38E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EDB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258C8A56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19F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E534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95E8" w14:textId="06E7A9B4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98C1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0520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6CFA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D51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1E5C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98D5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02D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256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2FA2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4395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596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BABD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72025909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CB4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1C7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023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5498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3A84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520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408B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78C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10E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9C9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E9CC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05A6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9D7E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D47C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7B5B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132B2FF6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934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4B89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B891" w14:textId="0226339F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A725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0B8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77F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4E9F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1A13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3BDF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4D0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4EA2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6B7D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8D5B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C3A2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C8F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2CAEF1C2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B9D9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D1E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549F" w14:textId="1F1F1A26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50DD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1904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E30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6F2C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BE24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59E7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ADD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33D8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BC91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D826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21C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950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4122FBF6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D77B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78CD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1EAC5" w14:textId="2445964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  <w:r w:rsidRPr="002D61BA">
              <w:rPr>
                <w:rFonts w:ascii="Calibri" w:eastAsia="Times New Roman" w:hAnsi="Calibri" w:cs="Calibri"/>
                <w:noProof/>
                <w:color w:val="000000"/>
                <w:sz w:val="22"/>
                <w:lang w:val="sr-Cyrl-RS" w:eastAsia="sr-Cyrl-RS"/>
              </w:rPr>
              <w:drawing>
                <wp:anchor distT="0" distB="0" distL="114300" distR="114300" simplePos="0" relativeHeight="251661824" behindDoc="0" locked="0" layoutInCell="1" allowOverlap="1" wp14:anchorId="6D66747D" wp14:editId="3C4CF184">
                  <wp:simplePos x="0" y="0"/>
                  <wp:positionH relativeFrom="column">
                    <wp:posOffset>-1732915</wp:posOffset>
                  </wp:positionH>
                  <wp:positionV relativeFrom="paragraph">
                    <wp:posOffset>-186690</wp:posOffset>
                  </wp:positionV>
                  <wp:extent cx="8854440" cy="4282440"/>
                  <wp:effectExtent l="0" t="0" r="3810" b="3810"/>
                  <wp:wrapNone/>
                  <wp:docPr id="9" name="Chart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FAD58F6-459C-49D6-9AFA-2B1550D8C6CA}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84DE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2461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743F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6EDE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F0A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A8E9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DE36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962A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372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994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3FA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0EB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0FA9B6F7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EDD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983B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F9E5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A175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D629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CA88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A232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450E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D32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0AD0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B7C3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89E5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0874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077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3059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18F502C8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CDE0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54A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E39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C59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9F78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91A0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87CA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2BAA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07EE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127B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DF32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6A85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4E4C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9719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C31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2462F8DB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84E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062D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D8A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C8D9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1231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CE50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B210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AB9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9EB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3AAA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75A4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49A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6C4B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798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F4F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18B55E8C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C1E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8745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3002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9789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4EB7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F23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4A5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903A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068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A142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FA7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FCEB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5B3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DB4B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B631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19D027B5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8D7A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5333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AF596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C65A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135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479C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09A8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57269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2DB32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FD7B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7D6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47F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9D4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AE3D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3C18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  <w:tr w:rsidR="002D61BA" w:rsidRPr="002D61BA" w14:paraId="6211BEF4" w14:textId="77777777" w:rsidTr="002D61BA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00D10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2157F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9E8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252F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60CC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5CEFE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2BACA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4D36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E6E7B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45B7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C6003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C2775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2A194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57CC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E0D51" w14:textId="77777777" w:rsidR="002D61BA" w:rsidRPr="002D61BA" w:rsidRDefault="002D61BA" w:rsidP="002D61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RS" w:eastAsia="sr-Cyrl-RS"/>
              </w:rPr>
            </w:pPr>
          </w:p>
        </w:tc>
      </w:tr>
    </w:tbl>
    <w:p w14:paraId="50B9B2F8" w14:textId="71767E7E" w:rsidR="009C6C86" w:rsidRPr="00A42B6A" w:rsidRDefault="009C6C86" w:rsidP="00A42B6A">
      <w:bookmarkStart w:id="11" w:name="_GoBack"/>
      <w:bookmarkEnd w:id="11"/>
    </w:p>
    <w:sectPr w:rsidR="009C6C86" w:rsidRPr="00A42B6A" w:rsidSect="00A243DB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2594A"/>
    <w:multiLevelType w:val="hybridMultilevel"/>
    <w:tmpl w:val="64A478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4D3106"/>
    <w:multiLevelType w:val="hybridMultilevel"/>
    <w:tmpl w:val="717AD324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A7B40"/>
    <w:multiLevelType w:val="hybridMultilevel"/>
    <w:tmpl w:val="21981CF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50280"/>
    <w:multiLevelType w:val="multilevel"/>
    <w:tmpl w:val="36E07D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LAwM7I0NzI3NjA2NTZR0lEKTi0uzszPAykwqQUA65oJGiwAAAA="/>
  </w:docVars>
  <w:rsids>
    <w:rsidRoot w:val="00AD0E71"/>
    <w:rsid w:val="00023B66"/>
    <w:rsid w:val="00065064"/>
    <w:rsid w:val="00093697"/>
    <w:rsid w:val="000B43A0"/>
    <w:rsid w:val="000C3943"/>
    <w:rsid w:val="000C441A"/>
    <w:rsid w:val="000D11AF"/>
    <w:rsid w:val="000D55C1"/>
    <w:rsid w:val="001142AF"/>
    <w:rsid w:val="00163392"/>
    <w:rsid w:val="001B357C"/>
    <w:rsid w:val="001B715E"/>
    <w:rsid w:val="001D1378"/>
    <w:rsid w:val="00210381"/>
    <w:rsid w:val="002119E5"/>
    <w:rsid w:val="00231558"/>
    <w:rsid w:val="00263938"/>
    <w:rsid w:val="0027234E"/>
    <w:rsid w:val="00283419"/>
    <w:rsid w:val="002D3BB2"/>
    <w:rsid w:val="002D61BA"/>
    <w:rsid w:val="002E61F5"/>
    <w:rsid w:val="002F0D2B"/>
    <w:rsid w:val="00310B46"/>
    <w:rsid w:val="00311A1C"/>
    <w:rsid w:val="00382BB5"/>
    <w:rsid w:val="003B587F"/>
    <w:rsid w:val="003C4803"/>
    <w:rsid w:val="003D03E4"/>
    <w:rsid w:val="003E64A2"/>
    <w:rsid w:val="003F3192"/>
    <w:rsid w:val="00423F05"/>
    <w:rsid w:val="0043129B"/>
    <w:rsid w:val="00473460"/>
    <w:rsid w:val="00481F58"/>
    <w:rsid w:val="0048628B"/>
    <w:rsid w:val="004C2894"/>
    <w:rsid w:val="00540F95"/>
    <w:rsid w:val="00566A2C"/>
    <w:rsid w:val="00596130"/>
    <w:rsid w:val="005A3510"/>
    <w:rsid w:val="005E1895"/>
    <w:rsid w:val="006B5182"/>
    <w:rsid w:val="00726586"/>
    <w:rsid w:val="00735FDA"/>
    <w:rsid w:val="00741F44"/>
    <w:rsid w:val="007742C1"/>
    <w:rsid w:val="0077498B"/>
    <w:rsid w:val="007862C9"/>
    <w:rsid w:val="007A3E31"/>
    <w:rsid w:val="007F33CA"/>
    <w:rsid w:val="007F51C9"/>
    <w:rsid w:val="008145A5"/>
    <w:rsid w:val="00823984"/>
    <w:rsid w:val="008378A0"/>
    <w:rsid w:val="00873754"/>
    <w:rsid w:val="008B1664"/>
    <w:rsid w:val="008D6E49"/>
    <w:rsid w:val="008E0EFA"/>
    <w:rsid w:val="00907F78"/>
    <w:rsid w:val="009165C1"/>
    <w:rsid w:val="0094371C"/>
    <w:rsid w:val="00955252"/>
    <w:rsid w:val="00960989"/>
    <w:rsid w:val="0098207B"/>
    <w:rsid w:val="009B1AAF"/>
    <w:rsid w:val="009C6C86"/>
    <w:rsid w:val="009F2417"/>
    <w:rsid w:val="009F786B"/>
    <w:rsid w:val="00A122E0"/>
    <w:rsid w:val="00A2187B"/>
    <w:rsid w:val="00A243DB"/>
    <w:rsid w:val="00A42B6A"/>
    <w:rsid w:val="00A52A1E"/>
    <w:rsid w:val="00AA046B"/>
    <w:rsid w:val="00AD0E71"/>
    <w:rsid w:val="00B912EC"/>
    <w:rsid w:val="00BF019D"/>
    <w:rsid w:val="00C03B84"/>
    <w:rsid w:val="00C161EB"/>
    <w:rsid w:val="00C21524"/>
    <w:rsid w:val="00C30AAA"/>
    <w:rsid w:val="00C46B29"/>
    <w:rsid w:val="00C75783"/>
    <w:rsid w:val="00C93698"/>
    <w:rsid w:val="00CC136B"/>
    <w:rsid w:val="00D25A53"/>
    <w:rsid w:val="00D5286F"/>
    <w:rsid w:val="00DB27A6"/>
    <w:rsid w:val="00EA4EAE"/>
    <w:rsid w:val="00EE4060"/>
    <w:rsid w:val="00EF20DC"/>
    <w:rsid w:val="00F4327E"/>
    <w:rsid w:val="00F43E34"/>
    <w:rsid w:val="00F60325"/>
    <w:rsid w:val="00FD2251"/>
    <w:rsid w:val="00FD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4BF1C"/>
  <w15:chartTrackingRefBased/>
  <w15:docId w15:val="{D317B706-3142-4EBD-B7C0-0D7E2E9E6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2E0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8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A71B26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58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187B"/>
    <w:rPr>
      <w:rFonts w:asciiTheme="majorHAnsi" w:eastAsiaTheme="majorEastAsia" w:hAnsiTheme="majorHAnsi" w:cstheme="majorBidi"/>
      <w:b/>
      <w:color w:val="A71B26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B58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0C394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52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28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286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2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286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2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86F"/>
    <w:rPr>
      <w:rFonts w:ascii="Segoe UI" w:hAnsi="Segoe UI" w:cs="Segoe UI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210381"/>
    <w:pPr>
      <w:outlineLvl w:val="9"/>
    </w:pPr>
    <w:rPr>
      <w:b w:val="0"/>
      <w:color w:val="2F5496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210381"/>
    <w:pPr>
      <w:spacing w:before="120" w:after="0"/>
    </w:pPr>
    <w:rPr>
      <w:rFonts w:asciiTheme="minorHAnsi" w:hAnsiTheme="minorHAnsi" w:cstheme="minorHAnsi"/>
      <w:b/>
      <w:bCs/>
      <w:i/>
      <w:iCs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210381"/>
    <w:pPr>
      <w:spacing w:before="120" w:after="0"/>
      <w:ind w:left="240"/>
    </w:pPr>
    <w:rPr>
      <w:rFonts w:asciiTheme="minorHAnsi" w:hAnsiTheme="minorHAnsi" w:cstheme="minorHAnsi"/>
      <w:b/>
      <w:bCs/>
      <w:sz w:val="22"/>
    </w:rPr>
  </w:style>
  <w:style w:type="character" w:styleId="Hyperlink">
    <w:name w:val="Hyperlink"/>
    <w:basedOn w:val="DefaultParagraphFont"/>
    <w:uiPriority w:val="99"/>
    <w:unhideWhenUsed/>
    <w:rsid w:val="002D61BA"/>
    <w:rPr>
      <w:color w:val="0563C1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F3192"/>
    <w:pPr>
      <w:spacing w:after="0"/>
      <w:ind w:left="480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3F3192"/>
    <w:pPr>
      <w:spacing w:after="0"/>
      <w:ind w:left="72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F3192"/>
    <w:pPr>
      <w:spacing w:after="0"/>
      <w:ind w:left="96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F3192"/>
    <w:pPr>
      <w:spacing w:after="0"/>
      <w:ind w:left="120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F3192"/>
    <w:pPr>
      <w:spacing w:after="0"/>
      <w:ind w:left="144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F3192"/>
    <w:pPr>
      <w:spacing w:after="0"/>
      <w:ind w:left="168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F3192"/>
    <w:pPr>
      <w:spacing w:after="0"/>
      <w:ind w:left="192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hart" Target="charts/chart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chart" Target="charts/chart2.xml"/><Relationship Id="rId17" Type="http://schemas.openxmlformats.org/officeDocument/2006/relationships/chart" Target="charts/chart7.xml"/><Relationship Id="rId2" Type="http://schemas.openxmlformats.org/officeDocument/2006/relationships/numbering" Target="numbering.xml"/><Relationship Id="rId16" Type="http://schemas.openxmlformats.org/officeDocument/2006/relationships/chart" Target="charts/chart6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Vesnin%20hard\Maxima\Relof\RELOF%20II\Experts\MEFRO%20-%20FE%20Katarina%20Djulic\Deliverables\03%20Final%20Scorecard%20LJP%20bez%20pondera%20Vesn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Vesnin%20hard\Maxima\Relof\RELOF%20II\Experts\MEFRO%20-%20FE%20Katarina%20Djulic\Deliverables\03%20Final%20Scorecard%20LJP%20bez%20pondera%20Vesna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Vesnin%20hard\Maxima\Relof\RELOF%20II\Experts\MEFRO%20-%20FE%20Katarina%20Djulic\Deliverables\03%20Final%20Scorecard%20LJP%20bez%20pondera%20Vesna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Vesnin%20hard\Maxima\Relof\RELOF%20II\Experts\MEFRO%20-%20FE%20Katarina%20Djulic\Deliverables\03%20Final%20Scorecard%20LJP%20bez%20pondera%20Vesna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Vesnin%20hard\Maxima\Relof\RELOF%20II\Experts\MEFRO%20-%20FE%20Katarina%20Djulic\Deliverables\03%20Final%20Scorecard%20LJP%20bez%20pondera%20Vesna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Vesnin%20hard\Maxima\Relof\RELOF%20II\Experts\MEFRO%20-%20FE%20Katarina%20Djulic\Deliverables\03%20Final%20Scorecard%20LJP%20bez%20pondera%20Vesna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Vesnin%20hard\Maxima\Relof\RELOF%20II\Experts\MEFRO%20-%20FE%20Katarina%20Djulic\Deliverables\03%20Final%20Scorecard%20LJP%20bez%20pondera%20Vesna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Latn-RS"/>
              <a:t>Korporativno</a:t>
            </a:r>
            <a:r>
              <a:rPr lang="sr-Latn-RS" baseline="0"/>
              <a:t> upravljanje</a:t>
            </a:r>
            <a:endParaRPr lang="en-GB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>
        <c:manualLayout>
          <c:layoutTarget val="inner"/>
          <c:xMode val="edge"/>
          <c:yMode val="edge"/>
          <c:x val="0.14665048118985127"/>
          <c:y val="0.19486111111111112"/>
          <c:w val="0.85334951881014875"/>
          <c:h val="0.72088764946048411"/>
        </c:manualLayout>
      </c:layout>
      <c:radarChart>
        <c:radarStyle val="marker"/>
        <c:varyColors val="0"/>
        <c:ser>
          <c:idx val="0"/>
          <c:order val="0"/>
          <c:spPr>
            <a:ln w="34925" cap="rnd">
              <a:solidFill>
                <a:srgbClr val="C00000"/>
              </a:solidFill>
              <a:prstDash val="solid"/>
              <a:miter lim="800000"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dLbls>
            <c:dLbl>
              <c:idx val="0"/>
              <c:layout>
                <c:manualLayout>
                  <c:x val="1.8662072925638817E-2"/>
                  <c:y val="-4.6250412950115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180-4F87-B501-B25FE39BEC38}"/>
                </c:ext>
              </c:extLst>
            </c:dLbl>
            <c:dLbl>
              <c:idx val="1"/>
              <c:layout>
                <c:manualLayout>
                  <c:x val="1.1484352569623888E-2"/>
                  <c:y val="-5.28576148001321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180-4F87-B501-B25FE39BEC38}"/>
                </c:ext>
              </c:extLst>
            </c:dLbl>
            <c:dLbl>
              <c:idx val="2"/>
              <c:layout>
                <c:manualLayout>
                  <c:x val="4.3066322136089052E-3"/>
                  <c:y val="-3.6339610175090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180-4F87-B501-B25FE39BEC38}"/>
                </c:ext>
              </c:extLst>
            </c:dLbl>
            <c:dLbl>
              <c:idx val="3"/>
              <c:layout>
                <c:manualLayout>
                  <c:x val="0"/>
                  <c:y val="-4.6250412950115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180-4F87-B501-B25FE39BEC38}"/>
                </c:ext>
              </c:extLst>
            </c:dLbl>
            <c:dLbl>
              <c:idx val="4"/>
              <c:layout>
                <c:manualLayout>
                  <c:x val="2.8710881424059719E-3"/>
                  <c:y val="-5.28576148001321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180-4F87-B501-B25FE39BEC38}"/>
                </c:ext>
              </c:extLst>
            </c:dLbl>
            <c:dLbl>
              <c:idx val="5"/>
              <c:layout>
                <c:manualLayout>
                  <c:x val="-4.3066322136090631E-3"/>
                  <c:y val="-4.29468120251073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180-4F87-B501-B25FE39BEC3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(Scorecard!$A$8,Scorecard!$A$17,Scorecard!$A$30,Scorecard!$A$45,Scorecard!$A$56,Scorecard!$A$68)</c:f>
              <c:strCache>
                <c:ptCount val="6"/>
                <c:pt idx="0">
                  <c:v>I Posvećenost principima korporativnog upravljanja i društvena odgovornost</c:v>
                </c:pt>
                <c:pt idx="1">
                  <c:v>II Lokalna samouprava - Osnivač</c:v>
                </c:pt>
                <c:pt idx="2">
                  <c:v>III Nadzorni odbor</c:v>
                </c:pt>
                <c:pt idx="3">
                  <c:v>IV Izvršni organi LJP </c:v>
                </c:pt>
                <c:pt idx="4">
                  <c:v>V Poslovi nadzora, kontrole i eksterne revizije</c:v>
                </c:pt>
                <c:pt idx="5">
                  <c:v>VI Transparentnost i javnost poslovanja</c:v>
                </c:pt>
              </c:strCache>
            </c:strRef>
          </c:cat>
          <c:val>
            <c:numRef>
              <c:f>(Scorecard!$D$15,Scorecard!$D$28,Scorecard!$D$43,Scorecard!$D$54,Scorecard!$D$66,Scorecard!$D$78)</c:f>
              <c:numCache>
                <c:formatCode>0.00%</c:formatCode>
                <c:ptCount val="6"/>
                <c:pt idx="0" formatCode="0%">
                  <c:v>0.5</c:v>
                </c:pt>
                <c:pt idx="1">
                  <c:v>0.5</c:v>
                </c:pt>
                <c:pt idx="2">
                  <c:v>0.5</c:v>
                </c:pt>
                <c:pt idx="3">
                  <c:v>0.5</c:v>
                </c:pt>
                <c:pt idx="4">
                  <c:v>0.5</c:v>
                </c:pt>
                <c:pt idx="5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9180-4F87-B501-B25FE39BEC3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axId val="1870536480"/>
        <c:axId val="1870637968"/>
      </c:radarChart>
      <c:catAx>
        <c:axId val="18705364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870637968"/>
        <c:crosses val="autoZero"/>
        <c:auto val="1"/>
        <c:lblAlgn val="ctr"/>
        <c:lblOffset val="100"/>
        <c:noMultiLvlLbl val="0"/>
      </c:catAx>
      <c:valAx>
        <c:axId val="18706379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8705364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I Posvećenost principima korporativnog upravljanja i društvena odgovornost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>
        <c:manualLayout>
          <c:layoutTarget val="inner"/>
          <c:xMode val="edge"/>
          <c:yMode val="edge"/>
          <c:x val="0.14665048118985127"/>
          <c:y val="0.19486111111111112"/>
          <c:w val="0.85334951881014875"/>
          <c:h val="0.7208876494604841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Scorecard!$A$10:$A$14</c:f>
              <c:strCache>
                <c:ptCount val="5"/>
                <c:pt idx="0">
                  <c:v>I 1. Da li su principi korporativnog upravljanja koje LJP primenjuje u praksi uključeni u statut ili druga interna akta LJP?</c:v>
                </c:pt>
                <c:pt idx="1">
                  <c:v>I 2. Da li su statut ili druga interna akta LJP (u kojima su obuhvaćeni principi korporativnog upravljanja koje LJP primenjuje u praksi) lako dostupni svim stakeholderima (nosiocima interesa i zainteresovanim stranama) npr. putem interneta u odgovarajućoj</c:v>
                </c:pt>
                <c:pt idx="2">
                  <c:v>I 3. Da li se o primeni principa korporativnog upravljanja  raspravlja na sednicama nadzornog odbora LJP? </c:v>
                </c:pt>
                <c:pt idx="3">
                  <c:v>I 4. Da li LJP u svojim godišnjim izveštajima objavljuje usklađenost poslovanja sa principima korporativnog upravljanja?</c:v>
                </c:pt>
                <c:pt idx="4">
                  <c:v>I 5. Da li je LJP usvojilo politike/principe/procedure koje obezbeđuju da se prilikom donošenja odluka uzimaju u obzir interesi svih stakeholdera (nosioca interesa i zainteresovanih strana)?</c:v>
                </c:pt>
              </c:strCache>
            </c:strRef>
          </c:tx>
          <c:spPr>
            <a:gradFill flip="none" rotWithShape="1">
              <a:gsLst>
                <a:gs pos="0">
                  <a:schemeClr val="accent6">
                    <a:lumMod val="0"/>
                    <a:lumOff val="100000"/>
                  </a:schemeClr>
                </a:gs>
                <a:gs pos="0">
                  <a:schemeClr val="accent6">
                    <a:lumMod val="0"/>
                    <a:lumOff val="100000"/>
                  </a:schemeClr>
                </a:gs>
                <a:gs pos="100000">
                  <a:schemeClr val="accent6">
                    <a:lumMod val="100000"/>
                  </a:schemeClr>
                </a:gs>
              </a:gsLst>
              <a:path path="circle">
                <a:fillToRect l="50000" t="-80000" r="50000" b="180000"/>
              </a:path>
              <a:tileRect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Scorecard!$A$10:$A$14</c:f>
              <c:strCache>
                <c:ptCount val="5"/>
                <c:pt idx="0">
                  <c:v>I 1. Da li su principi korporativnog upravljanja koje LJP primenjuje u praksi uključeni u statut ili druga interna akta LJP?</c:v>
                </c:pt>
                <c:pt idx="1">
                  <c:v>I 2. Da li su statut ili druga interna akta LJP (u kojima su obuhvaćeni principi korporativnog upravljanja koje LJP primenjuje u praksi) lako dostupni svim stakeholderima (nosiocima interesa i zainteresovanim stranama) npr. putem interneta u odgovarajućoj </c:v>
                </c:pt>
                <c:pt idx="2">
                  <c:v>I 3. Da li se o primeni principa korporativnog upravljanja  raspravlja na sednicama nadzornog odbora LJP? </c:v>
                </c:pt>
                <c:pt idx="3">
                  <c:v>I 4. Da li LJP u svojim godišnjim izveštajima objavljuje usklađenost poslovanja sa principima korporativnog upravljanja?</c:v>
                </c:pt>
                <c:pt idx="4">
                  <c:v>I 5. Da li je LJP usvojilo politike/principe/procedure koje obezbeđuju da se prilikom donošenja odluka uzimaju u obzir interesi svih stakeholdera (nosioca interesa i zainteresovanih strana)?</c:v>
                </c:pt>
              </c:strCache>
            </c:strRef>
          </c:cat>
          <c:val>
            <c:numRef>
              <c:f>Scorecard!$D$10:$D$14</c:f>
              <c:numCache>
                <c:formatCode>0.00%</c:formatCode>
                <c:ptCount val="5"/>
                <c:pt idx="0">
                  <c:v>7.4999999999999997E-2</c:v>
                </c:pt>
                <c:pt idx="1">
                  <c:v>7.4999999999999997E-2</c:v>
                </c:pt>
                <c:pt idx="2">
                  <c:v>0.1</c:v>
                </c:pt>
                <c:pt idx="3">
                  <c:v>0.1</c:v>
                </c:pt>
                <c:pt idx="4">
                  <c:v>0.15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E17-4B9D-93A5-CAF4A5FEB82B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15"/>
        <c:overlap val="-20"/>
        <c:axId val="1870536480"/>
        <c:axId val="1870637968"/>
      </c:barChart>
      <c:catAx>
        <c:axId val="18705364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870637968"/>
        <c:crosses val="autoZero"/>
        <c:auto val="1"/>
        <c:lblAlgn val="ctr"/>
        <c:lblOffset val="100"/>
        <c:noMultiLvlLbl val="0"/>
      </c:catAx>
      <c:valAx>
        <c:axId val="187063796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8705364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II Lokalna samouprava - Osnivač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>
        <c:manualLayout>
          <c:layoutTarget val="inner"/>
          <c:xMode val="edge"/>
          <c:yMode val="edge"/>
          <c:x val="0.14665048118985127"/>
          <c:y val="0.19486111111111112"/>
          <c:w val="0.85334951881014875"/>
          <c:h val="0.72088764946048411"/>
        </c:manualLayout>
      </c:layout>
      <c:barChart>
        <c:barDir val="bar"/>
        <c:grouping val="clustered"/>
        <c:varyColors val="0"/>
        <c:ser>
          <c:idx val="0"/>
          <c:order val="0"/>
          <c:spPr>
            <a:gradFill flip="none" rotWithShape="1">
              <a:gsLst>
                <a:gs pos="0">
                  <a:schemeClr val="accent2">
                    <a:lumMod val="0"/>
                    <a:lumOff val="100000"/>
                  </a:schemeClr>
                </a:gs>
                <a:gs pos="0">
                  <a:schemeClr val="accent2">
                    <a:lumMod val="0"/>
                    <a:lumOff val="100000"/>
                  </a:schemeClr>
                </a:gs>
                <a:gs pos="100000">
                  <a:schemeClr val="accent2">
                    <a:lumMod val="100000"/>
                  </a:schemeClr>
                </a:gs>
              </a:gsLst>
              <a:path path="circle">
                <a:fillToRect l="50000" t="-80000" r="50000" b="180000"/>
              </a:path>
              <a:tileRect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Scorecard!$A$19:$A$27</c:f>
              <c:strCache>
                <c:ptCount val="9"/>
                <c:pt idx="0">
                  <c:v>II 1. Da li LJP dobija jasne strateške smernice (strateški prioriteti, obaveze LJP u vezi sa sprovođenjem plana razvoja lokalne samouprave i sl.) od Osnivača pri izradi godišnjeg plana poslovanja?</c:v>
                </c:pt>
                <c:pt idx="1">
                  <c:v>II 2. Da li Osnivač učestvuje u izboru finansijskih pokazatelja i ključnih operativnih pokazatelja (KPI) na osnovu kojih će vršiti praćenje izvršenja godišnjeg plana poslovanja?</c:v>
                </c:pt>
                <c:pt idx="2">
                  <c:v>II 3.  Da li postoje formalno odnosno neformalno razvijeni kanali komunikacije između LJP i Osnivača? </c:v>
                </c:pt>
                <c:pt idx="3">
                  <c:v>II 4. Da li Osnivač reaguje na probleme koji su eventualno iskazani u izveštaju (tromesečnom ili godišnjem) o poslovanju (npr. u vezi sa stepenom realizacije investicionog plana, strategijom poslovanja, glavnim rizicima poslovanja)?</c:v>
                </c:pt>
                <c:pt idx="4">
                  <c:v>II 5. Da li Osnivač, u finansijskom smislu, tretira sva svoja LJP kao odvojene entitete, bez diskrecionog prava za preusmeravanje slobodnih finansijskih sredstava između LJP u lokalnoj samoupravi odnosno ka drugim budžetskih korisnicima, kao i bez diskreci</c:v>
                </c:pt>
                <c:pt idx="5">
                  <c:v>II 6. Da li finansijske transakcije između LJP i Osnivača odnosno drugih LJP koje je osnovao isti Osnivač moraju biti formalno odobrene od strane nadzornog odbora?</c:v>
                </c:pt>
                <c:pt idx="6">
                  <c:v>II 7.  Da li godišnji izveštaj o poslovanju u narativnom delu obuhvata i segment materijalnih (operativnih) rizika, kao i finansijskih rizika sa kojima se LJP suočava?</c:v>
                </c:pt>
                <c:pt idx="7">
                  <c:v>II 8.  Da li LJP u svom poslovanju pravi jasnu razliku između utvrđenih komercijalnih ciljeva i dodeljenih ciljeva javne politike od strane Osnivača?</c:v>
                </c:pt>
                <c:pt idx="8">
                  <c:v>II 9. Da li Osnivač izdvaja sredstva za ispunjenje nekomercijalnih ciljeva (ciljeva javne politike) koji su dodeljeni LJP?</c:v>
                </c:pt>
              </c:strCache>
            </c:strRef>
          </c:cat>
          <c:val>
            <c:numRef>
              <c:f>Scorecard!$D$19:$D$27</c:f>
              <c:numCache>
                <c:formatCode>0.00%</c:formatCode>
                <c:ptCount val="9"/>
                <c:pt idx="0">
                  <c:v>7.4999999999999997E-2</c:v>
                </c:pt>
                <c:pt idx="1">
                  <c:v>0.05</c:v>
                </c:pt>
                <c:pt idx="2">
                  <c:v>2.5000000000000001E-2</c:v>
                </c:pt>
                <c:pt idx="3">
                  <c:v>7.4999999999999997E-2</c:v>
                </c:pt>
                <c:pt idx="4">
                  <c:v>7.4999999999999997E-2</c:v>
                </c:pt>
                <c:pt idx="5">
                  <c:v>0.05</c:v>
                </c:pt>
                <c:pt idx="6">
                  <c:v>7.4999999999999997E-2</c:v>
                </c:pt>
                <c:pt idx="7">
                  <c:v>2.5000000000000001E-2</c:v>
                </c:pt>
                <c:pt idx="8">
                  <c:v>0.05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707-4FF7-9F9F-AEA06F0B7FE0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15"/>
        <c:overlap val="-20"/>
        <c:axId val="1870536480"/>
        <c:axId val="1870637968"/>
      </c:barChart>
      <c:catAx>
        <c:axId val="18705364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870637968"/>
        <c:crosses val="autoZero"/>
        <c:auto val="1"/>
        <c:lblAlgn val="ctr"/>
        <c:lblOffset val="100"/>
        <c:noMultiLvlLbl val="0"/>
      </c:catAx>
      <c:valAx>
        <c:axId val="187063796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8705364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 b="1"/>
              <a:t>III Nadzorni odbor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gradFill flip="none" rotWithShape="1">
              <a:gsLst>
                <a:gs pos="16000">
                  <a:schemeClr val="accent5">
                    <a:lumMod val="40000"/>
                    <a:lumOff val="60000"/>
                  </a:schemeClr>
                </a:gs>
                <a:gs pos="46000">
                  <a:schemeClr val="accent5">
                    <a:lumMod val="95000"/>
                    <a:lumOff val="5000"/>
                  </a:schemeClr>
                </a:gs>
                <a:gs pos="100000">
                  <a:schemeClr val="accent5">
                    <a:lumMod val="60000"/>
                  </a:schemeClr>
                </a:gs>
              </a:gsLst>
              <a:path path="circle">
                <a:fillToRect l="50000" t="130000" r="50000" b="-30000"/>
              </a:path>
              <a:tileRect/>
            </a:gradFill>
            <a:ln>
              <a:noFill/>
            </a:ln>
            <a:effectLst/>
          </c:spPr>
          <c:invertIfNegative val="0"/>
          <c:cat>
            <c:strRef>
              <c:f>Scorecard!$A$32:$A$42</c:f>
              <c:strCache>
                <c:ptCount val="11"/>
                <c:pt idx="0">
                  <c:v>III 1. Da li je aktima LJP preciznije utvrđena nadležnost nadzornog odbora u pogledu donošenja strategije poslovanja i praćenja njenog sprovođenja? </c:v>
                </c:pt>
                <c:pt idx="1">
                  <c:v>III 2. Da li su aktima LJP utvrđene nadležnosti nadzornog odbora u vezi sa usvajanjem finansijskih izveštaja LJP? </c:v>
                </c:pt>
                <c:pt idx="2">
                  <c:v>III 3. Da li je aktima LJP utvrđena nadležnost nadzornog odbora u pogledu praćenja i kontrole rada izvršnih organa LJP?</c:v>
                </c:pt>
                <c:pt idx="3">
                  <c:v>III 4. Da li su aktima LJP utvrđeni kriterijumi kojima se definišu potrebna stručna znanja i kompetencije članova nadzornog odbora? </c:v>
                </c:pt>
                <c:pt idx="4">
                  <c:v>III 5. Da li je članovima nadzornog odbora obezbeđena kontinuirana edukacija  sa ciljem unapređenja njihovih znanja i sposobnosti za obavljanje funkcije člana nadzornog odbora (posebno iz domena korporativnog upravljanja)? </c:v>
                </c:pt>
                <c:pt idx="5">
                  <c:v>III 6. Da li se u nadzorni odbor biraju članovi koji imaju znanja i iskustva iz oblasti finansija odnosno iskustvo iz privatnog sektora (kako za konkretnu granu u kojoj LJP posluje tako i privatnog sektora uopšte)?</c:v>
                </c:pt>
                <c:pt idx="6">
                  <c:v>III 7.  Da li se u nadzorni odbor biraju zvaničnici iz lokalne samouprave (članovi gradskog/opštinskog veća, odbornici odnosno druga izabrana lica), kao i lica koja su članovi političkih stranaka?</c:v>
                </c:pt>
                <c:pt idx="7">
                  <c:v>III 8.  Da li se sednice nadzornog odbora u punom sastavu (100%) održavaju najmanje jednom u tri meseca?</c:v>
                </c:pt>
                <c:pt idx="8">
                  <c:v>III 9. Da li članovi na sastancima nadzornog odbora aktivno učestvuju u obradi značajnih pitanja i kreiranju odluka koje imaju uticaja na poslovanje LJP? </c:v>
                </c:pt>
                <c:pt idx="9">
                  <c:v>III 10. Da li je nadzorni odbor aktivno uključen u proces izbora generalnog direktora i ostalih izvršnih organa LJP? (aktivno učešće podrazumeva stvaran proces selekcije kandidata sa najboljim kompetencijama za datu funkciju, a ne formalno izglasavanje kan</c:v>
                </c:pt>
                <c:pt idx="10">
                  <c:v>III 11. Da li postoji pravovremena reakcija nadzornog odbora na informacije o ključnim rizicima iskazanim u tromesečnim odnosno u godišnjem izveštaju, izveštaju internog odnosno eksternog revizora?</c:v>
                </c:pt>
              </c:strCache>
            </c:strRef>
          </c:cat>
          <c:val>
            <c:numRef>
              <c:f>Scorecard!$D$32:$D$42</c:f>
              <c:numCache>
                <c:formatCode>0.00%</c:formatCode>
                <c:ptCount val="11"/>
                <c:pt idx="0">
                  <c:v>2.5000000000000001E-2</c:v>
                </c:pt>
                <c:pt idx="1">
                  <c:v>2.5000000000000001E-2</c:v>
                </c:pt>
                <c:pt idx="2">
                  <c:v>2.5000000000000001E-2</c:v>
                </c:pt>
                <c:pt idx="3">
                  <c:v>7.4999999999999997E-2</c:v>
                </c:pt>
                <c:pt idx="4">
                  <c:v>0.05</c:v>
                </c:pt>
                <c:pt idx="5">
                  <c:v>0.05</c:v>
                </c:pt>
                <c:pt idx="6">
                  <c:v>0.05</c:v>
                </c:pt>
                <c:pt idx="7">
                  <c:v>2.5000000000000001E-2</c:v>
                </c:pt>
                <c:pt idx="8">
                  <c:v>0.05</c:v>
                </c:pt>
                <c:pt idx="9">
                  <c:v>0.05</c:v>
                </c:pt>
                <c:pt idx="10">
                  <c:v>7.4999999999999997E-2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628-410B-A4EC-944A10ACBD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648313088"/>
        <c:axId val="648654432"/>
      </c:barChart>
      <c:catAx>
        <c:axId val="64831308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648654432"/>
        <c:crosses val="autoZero"/>
        <c:auto val="1"/>
        <c:lblAlgn val="ctr"/>
        <c:lblOffset val="100"/>
        <c:noMultiLvlLbl val="0"/>
      </c:catAx>
      <c:valAx>
        <c:axId val="6486544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6483130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IV Izvršni organi lokalnog</a:t>
            </a:r>
            <a:r>
              <a:rPr lang="en-GB" baseline="0"/>
              <a:t> javnog preduze</a:t>
            </a:r>
            <a:r>
              <a:rPr lang="sr-Latn-RS" baseline="0"/>
              <a:t>ća</a:t>
            </a:r>
            <a:endParaRPr lang="en-GB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>
        <c:manualLayout>
          <c:layoutTarget val="inner"/>
          <c:xMode val="edge"/>
          <c:yMode val="edge"/>
          <c:x val="0.14665048118985127"/>
          <c:y val="0.19486111111111112"/>
          <c:w val="0.85334951881014875"/>
          <c:h val="0.72088764946048411"/>
        </c:manualLayout>
      </c:layout>
      <c:barChart>
        <c:barDir val="bar"/>
        <c:grouping val="clustered"/>
        <c:varyColors val="0"/>
        <c:ser>
          <c:idx val="0"/>
          <c:order val="0"/>
          <c:spPr>
            <a:gradFill flip="none" rotWithShape="1">
              <a:gsLst>
                <a:gs pos="0">
                  <a:schemeClr val="accent4">
                    <a:lumMod val="0"/>
                    <a:lumOff val="100000"/>
                  </a:schemeClr>
                </a:gs>
                <a:gs pos="17000">
                  <a:schemeClr val="accent4">
                    <a:lumMod val="0"/>
                    <a:lumOff val="100000"/>
                  </a:schemeClr>
                </a:gs>
                <a:gs pos="100000">
                  <a:schemeClr val="accent4">
                    <a:lumMod val="100000"/>
                  </a:schemeClr>
                </a:gs>
              </a:gsLst>
              <a:path path="circle">
                <a:fillToRect l="50000" t="-80000" r="50000" b="180000"/>
              </a:path>
              <a:tileRect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Scorecard!$A$47:$A$53</c:f>
              <c:strCache>
                <c:ptCount val="7"/>
                <c:pt idx="0">
                  <c:v>IV 1. Da li su internim aktima jasno definisana ovlašćenja i odgovornosti generalnog direktora i ostalih izvršnih organa?</c:v>
                </c:pt>
                <c:pt idx="1">
                  <c:v>IV 2. Da li su internim aktima jasno razgraničena ovlašćenja i odgovornosti izvršnih organa u odnosu na nadzorni odbor LJP?</c:v>
                </c:pt>
                <c:pt idx="2">
                  <c:v>IV 3. Da li su internim aktima utvrđeni kriterijumi kojima se definišu potrebna stručna znanja i kompetencije članova izvršnih organa?</c:v>
                </c:pt>
                <c:pt idx="3">
                  <c:v>IV 4. Da li je generalni direktor izabran na javnom konkursu? </c:v>
                </c:pt>
                <c:pt idx="4">
                  <c:v>IV 5. Da li je generalni direktor u vd statusu duže od godinu dana? (uzeti u obzir i prethodne vd direktore ukoliko je u poslednjih godinu dana došlo do promene lica na navedenoj poziciji)</c:v>
                </c:pt>
                <c:pt idx="5">
                  <c:v>IV 6.  Da li društvo ima uspostavljene efikasne  mehanizme za obezbeđenje istinitog, blagovremenog, sveobuhvatnog i ravnopravnog izveštavanja svih članova nadzornog odbora od strane izvršnih organa LJP, o svim činjenicama i okolnostima koje mogu uticati na</c:v>
                </c:pt>
                <c:pt idx="6">
                  <c:v>IV 7. Da li postoji direktna i redovna komunikacija između generalnog direktora LJP sa ovlašćenim predstavnicima Osnivača (funkcionerima u lokalnoj samoupravi)?</c:v>
                </c:pt>
              </c:strCache>
            </c:strRef>
          </c:cat>
          <c:val>
            <c:numRef>
              <c:f>Scorecard!$D$47:$D$53</c:f>
              <c:numCache>
                <c:formatCode>0.00%</c:formatCode>
                <c:ptCount val="7"/>
                <c:pt idx="0">
                  <c:v>0.05</c:v>
                </c:pt>
                <c:pt idx="1">
                  <c:v>0.05</c:v>
                </c:pt>
                <c:pt idx="2">
                  <c:v>7.4999999999999997E-2</c:v>
                </c:pt>
                <c:pt idx="3">
                  <c:v>0.1</c:v>
                </c:pt>
                <c:pt idx="4">
                  <c:v>0.1</c:v>
                </c:pt>
                <c:pt idx="5">
                  <c:v>7.4999999999999997E-2</c:v>
                </c:pt>
                <c:pt idx="6">
                  <c:v>0.05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905-4893-AA96-8493BBB5CE5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15"/>
        <c:overlap val="-20"/>
        <c:axId val="1870536480"/>
        <c:axId val="1870637968"/>
      </c:barChart>
      <c:catAx>
        <c:axId val="18705364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870637968"/>
        <c:crosses val="autoZero"/>
        <c:auto val="1"/>
        <c:lblAlgn val="ctr"/>
        <c:lblOffset val="100"/>
        <c:noMultiLvlLbl val="0"/>
      </c:catAx>
      <c:valAx>
        <c:axId val="187063796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8705364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V Poslovi nadzora, kontrole i eksterne revizije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>
        <c:manualLayout>
          <c:layoutTarget val="inner"/>
          <c:xMode val="edge"/>
          <c:yMode val="edge"/>
          <c:x val="0.14665048118985127"/>
          <c:y val="0.19486111111111112"/>
          <c:w val="0.85334951881014875"/>
          <c:h val="0.72088764946048411"/>
        </c:manualLayout>
      </c:layout>
      <c:barChart>
        <c:barDir val="bar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2">
                    <a:lumMod val="75000"/>
                  </a:schemeClr>
                </a:gs>
                <a:gs pos="2000">
                  <a:srgbClr val="C00000"/>
                </a:gs>
                <a:gs pos="100000">
                  <a:schemeClr val="bg1"/>
                </a:gs>
              </a:gsLst>
              <a:path path="circle">
                <a:fillToRect l="100000" t="100000"/>
              </a:path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Scorecard!$A$58:$A$65</c:f>
              <c:strCache>
                <c:ptCount val="8"/>
                <c:pt idx="0">
                  <c:v>V 1. Da li je u LJP u potpunosti uspostavljen sistem finansijskog upravljanja i kontrole (FUK)?</c:v>
                </c:pt>
                <c:pt idx="1">
                  <c:v>V 2. Da li LJP ima uspostavljenu funkciju interne revizije, bilo kroz zaposlenog internog revizora ili kroz zajedničku internu reviziju?</c:v>
                </c:pt>
                <c:pt idx="2">
                  <c:v>V 3. Da li su na nivou društva definisani ključni pokazatelji – indikatori rizika koji nadzornim organima treba da ukažu na potrebu sprovođenja  preventivnog nadzora i kontrole?</c:v>
                </c:pt>
                <c:pt idx="3">
                  <c:v>V 4. Da li nadzorni odbor nadgleda upravljanje rizicima od korupcije, odnosno uspostavljanje mehanizama kojima se ovaj rizik svodi na najmanju moguću meru?</c:v>
                </c:pt>
                <c:pt idx="4">
                  <c:v>V 5. Da li eksterni revizor prisustvuje sednici nadzornog odbora u cilju pružanja dodatnih informacija u vezi sa izvršenom revizijom i izraženim mišljenjem?</c:v>
                </c:pt>
                <c:pt idx="5">
                  <c:v>V 6. Da li eksterni revizor pored izveštaja o reviziji izrađuje i poseban interni dokument namenjen izvršnim organima LJP (pismo upravi) kojim su obuhvaćene značajnije slabosti uočene u postupcima kontrole, računovodstvenim i operativnim postupcima preduze</c:v>
                </c:pt>
                <c:pt idx="6">
                  <c:v>V 7. Da li izvršni organi društva preduzimaju korektivne radnje u vezi sa navodima koji su iskazani u pismu upravi?</c:v>
                </c:pt>
                <c:pt idx="7">
                  <c:v>V 8. Da li postoji potpuna komunikacija između internog  i eksternog revizora u toku postupka vršenja eksterne revizije u preduzeću?</c:v>
                </c:pt>
              </c:strCache>
            </c:strRef>
          </c:cat>
          <c:val>
            <c:numRef>
              <c:f>Scorecard!$D$58:$D$65</c:f>
              <c:numCache>
                <c:formatCode>0.00%</c:formatCode>
                <c:ptCount val="8"/>
                <c:pt idx="0">
                  <c:v>7.4999999999999997E-2</c:v>
                </c:pt>
                <c:pt idx="1">
                  <c:v>7.4999999999999997E-2</c:v>
                </c:pt>
                <c:pt idx="2">
                  <c:v>0.1</c:v>
                </c:pt>
                <c:pt idx="3">
                  <c:v>0.05</c:v>
                </c:pt>
                <c:pt idx="4">
                  <c:v>2.5000000000000001E-2</c:v>
                </c:pt>
                <c:pt idx="5">
                  <c:v>0.05</c:v>
                </c:pt>
                <c:pt idx="6">
                  <c:v>7.4999999999999997E-2</c:v>
                </c:pt>
                <c:pt idx="7">
                  <c:v>0.05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E57-4595-B112-FA7E3B96A72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15"/>
        <c:overlap val="-20"/>
        <c:axId val="1870536480"/>
        <c:axId val="1870637968"/>
      </c:barChart>
      <c:catAx>
        <c:axId val="18705364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870637968"/>
        <c:crosses val="autoZero"/>
        <c:auto val="1"/>
        <c:lblAlgn val="ctr"/>
        <c:lblOffset val="100"/>
        <c:noMultiLvlLbl val="0"/>
      </c:catAx>
      <c:valAx>
        <c:axId val="187063796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8705364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VI Transparentnost i javnost poslovanja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>
        <c:manualLayout>
          <c:layoutTarget val="inner"/>
          <c:xMode val="edge"/>
          <c:yMode val="edge"/>
          <c:x val="0.48655754271026197"/>
          <c:y val="0.21798641621729886"/>
          <c:w val="0.85334951881014875"/>
          <c:h val="0.72088764946048411"/>
        </c:manualLayout>
      </c:layout>
      <c:barChart>
        <c:barDir val="bar"/>
        <c:grouping val="clustered"/>
        <c:varyColors val="1"/>
        <c:ser>
          <c:idx val="0"/>
          <c:order val="0"/>
          <c:spPr>
            <a:gradFill flip="none" rotWithShape="1">
              <a:gsLst>
                <a:gs pos="2000">
                  <a:schemeClr val="bg1">
                    <a:lumMod val="95000"/>
                  </a:schemeClr>
                </a:gs>
                <a:gs pos="47000">
                  <a:srgbClr val="7030A0"/>
                </a:gs>
                <a:gs pos="83000">
                  <a:srgbClr val="7030A0"/>
                </a:gs>
                <a:gs pos="100000">
                  <a:srgbClr val="7030A0"/>
                </a:gs>
              </a:gsLst>
              <a:path path="circle">
                <a:fillToRect l="100000" t="100000"/>
              </a:path>
              <a:tileRect r="-100000" b="-100000"/>
            </a:gradFill>
          </c:spPr>
          <c:invertIfNegative val="0"/>
          <c:dPt>
            <c:idx val="0"/>
            <c:invertIfNegative val="0"/>
            <c:bubble3D val="0"/>
            <c:spPr>
              <a:gradFill flip="none" rotWithShape="1">
                <a:gsLst>
                  <a:gs pos="2000">
                    <a:schemeClr val="bg1">
                      <a:lumMod val="95000"/>
                    </a:schemeClr>
                  </a:gs>
                  <a:gs pos="47000">
                    <a:srgbClr val="7030A0"/>
                  </a:gs>
                  <a:gs pos="83000">
                    <a:srgbClr val="7030A0"/>
                  </a:gs>
                  <a:gs pos="100000">
                    <a:srgbClr val="7030A0"/>
                  </a:gs>
                </a:gsLst>
                <a:path path="circle">
                  <a:fillToRect l="100000" t="100000"/>
                </a:path>
                <a:tileRect r="-100000" b="-10000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0284-4F21-AD9D-1E93056E8495}"/>
              </c:ext>
            </c:extLst>
          </c:dPt>
          <c:dPt>
            <c:idx val="1"/>
            <c:invertIfNegative val="0"/>
            <c:bubble3D val="0"/>
            <c:spPr>
              <a:gradFill flip="none" rotWithShape="1">
                <a:gsLst>
                  <a:gs pos="2000">
                    <a:schemeClr val="bg1">
                      <a:lumMod val="95000"/>
                    </a:schemeClr>
                  </a:gs>
                  <a:gs pos="47000">
                    <a:srgbClr val="7030A0"/>
                  </a:gs>
                  <a:gs pos="83000">
                    <a:srgbClr val="7030A0"/>
                  </a:gs>
                  <a:gs pos="100000">
                    <a:srgbClr val="7030A0"/>
                  </a:gs>
                </a:gsLst>
                <a:path path="circle">
                  <a:fillToRect l="100000" t="100000"/>
                </a:path>
                <a:tileRect r="-100000" b="-10000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0284-4F21-AD9D-1E93056E8495}"/>
              </c:ext>
            </c:extLst>
          </c:dPt>
          <c:dPt>
            <c:idx val="2"/>
            <c:invertIfNegative val="0"/>
            <c:bubble3D val="0"/>
            <c:spPr>
              <a:gradFill flip="none" rotWithShape="1">
                <a:gsLst>
                  <a:gs pos="2000">
                    <a:schemeClr val="bg1">
                      <a:lumMod val="95000"/>
                    </a:schemeClr>
                  </a:gs>
                  <a:gs pos="47000">
                    <a:srgbClr val="7030A0"/>
                  </a:gs>
                  <a:gs pos="83000">
                    <a:srgbClr val="7030A0"/>
                  </a:gs>
                  <a:gs pos="100000">
                    <a:srgbClr val="7030A0"/>
                  </a:gs>
                </a:gsLst>
                <a:path path="circle">
                  <a:fillToRect l="100000" t="100000"/>
                </a:path>
                <a:tileRect r="-100000" b="-10000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0284-4F21-AD9D-1E93056E8495}"/>
              </c:ext>
            </c:extLst>
          </c:dPt>
          <c:dPt>
            <c:idx val="3"/>
            <c:invertIfNegative val="0"/>
            <c:bubble3D val="0"/>
            <c:spPr>
              <a:gradFill flip="none" rotWithShape="1">
                <a:gsLst>
                  <a:gs pos="2000">
                    <a:schemeClr val="bg1">
                      <a:lumMod val="95000"/>
                    </a:schemeClr>
                  </a:gs>
                  <a:gs pos="47000">
                    <a:srgbClr val="7030A0"/>
                  </a:gs>
                  <a:gs pos="83000">
                    <a:srgbClr val="7030A0"/>
                  </a:gs>
                  <a:gs pos="100000">
                    <a:srgbClr val="7030A0"/>
                  </a:gs>
                </a:gsLst>
                <a:path path="circle">
                  <a:fillToRect l="100000" t="100000"/>
                </a:path>
                <a:tileRect r="-100000" b="-10000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0284-4F21-AD9D-1E93056E8495}"/>
              </c:ext>
            </c:extLst>
          </c:dPt>
          <c:dPt>
            <c:idx val="4"/>
            <c:invertIfNegative val="0"/>
            <c:bubble3D val="0"/>
            <c:spPr>
              <a:gradFill flip="none" rotWithShape="1">
                <a:gsLst>
                  <a:gs pos="2000">
                    <a:schemeClr val="bg1">
                      <a:lumMod val="95000"/>
                    </a:schemeClr>
                  </a:gs>
                  <a:gs pos="47000">
                    <a:srgbClr val="7030A0"/>
                  </a:gs>
                  <a:gs pos="83000">
                    <a:srgbClr val="7030A0"/>
                  </a:gs>
                  <a:gs pos="100000">
                    <a:srgbClr val="7030A0"/>
                  </a:gs>
                </a:gsLst>
                <a:path path="circle">
                  <a:fillToRect l="100000" t="100000"/>
                </a:path>
                <a:tileRect r="-100000" b="-10000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0284-4F21-AD9D-1E93056E8495}"/>
              </c:ext>
            </c:extLst>
          </c:dPt>
          <c:dPt>
            <c:idx val="5"/>
            <c:invertIfNegative val="0"/>
            <c:bubble3D val="0"/>
            <c:spPr>
              <a:gradFill flip="none" rotWithShape="1">
                <a:gsLst>
                  <a:gs pos="2000">
                    <a:schemeClr val="bg1">
                      <a:lumMod val="95000"/>
                    </a:schemeClr>
                  </a:gs>
                  <a:gs pos="47000">
                    <a:srgbClr val="7030A0"/>
                  </a:gs>
                  <a:gs pos="83000">
                    <a:srgbClr val="7030A0"/>
                  </a:gs>
                  <a:gs pos="100000">
                    <a:srgbClr val="7030A0"/>
                  </a:gs>
                </a:gsLst>
                <a:path path="circle">
                  <a:fillToRect l="100000" t="100000"/>
                </a:path>
                <a:tileRect r="-100000" b="-10000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0284-4F21-AD9D-1E93056E8495}"/>
              </c:ext>
            </c:extLst>
          </c:dPt>
          <c:dPt>
            <c:idx val="6"/>
            <c:invertIfNegative val="0"/>
            <c:bubble3D val="0"/>
            <c:spPr>
              <a:gradFill flip="none" rotWithShape="1">
                <a:gsLst>
                  <a:gs pos="2000">
                    <a:schemeClr val="bg1">
                      <a:lumMod val="95000"/>
                    </a:schemeClr>
                  </a:gs>
                  <a:gs pos="47000">
                    <a:srgbClr val="7030A0"/>
                  </a:gs>
                  <a:gs pos="83000">
                    <a:srgbClr val="7030A0"/>
                  </a:gs>
                  <a:gs pos="100000">
                    <a:srgbClr val="7030A0"/>
                  </a:gs>
                </a:gsLst>
                <a:path path="circle">
                  <a:fillToRect l="100000" t="100000"/>
                </a:path>
                <a:tileRect r="-100000" b="-10000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0284-4F21-AD9D-1E93056E8495}"/>
              </c:ext>
            </c:extLst>
          </c:dPt>
          <c:dPt>
            <c:idx val="7"/>
            <c:invertIfNegative val="0"/>
            <c:bubble3D val="0"/>
            <c:spPr>
              <a:gradFill flip="none" rotWithShape="1">
                <a:gsLst>
                  <a:gs pos="2000">
                    <a:schemeClr val="bg1">
                      <a:lumMod val="95000"/>
                    </a:schemeClr>
                  </a:gs>
                  <a:gs pos="47000">
                    <a:srgbClr val="7030A0"/>
                  </a:gs>
                  <a:gs pos="83000">
                    <a:srgbClr val="7030A0"/>
                  </a:gs>
                  <a:gs pos="100000">
                    <a:srgbClr val="7030A0"/>
                  </a:gs>
                </a:gsLst>
                <a:path path="circle">
                  <a:fillToRect l="100000" t="100000"/>
                </a:path>
                <a:tileRect r="-100000" b="-10000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0284-4F21-AD9D-1E93056E849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Scorecard!$A$70:$A$77</c:f>
              <c:strCache>
                <c:ptCount val="8"/>
                <c:pt idx="0">
                  <c:v>VI 1. Da li LJP za objavljivanje svih relevantnih informacija koristi sopstvenu internet stranicu i/ili stranicu osnivača?</c:v>
                </c:pt>
                <c:pt idx="1">
                  <c:v>VI 2. Da li društvo pravovremeno objavljuje finansijske i poslovne izveštaje, te izveštaje eksternog revizora u skladu sa zakonom i dobrom korporativnom praksom na sopstvenoj internet stranici i/ili stranici osnivača?</c:v>
                </c:pt>
                <c:pt idx="2">
                  <c:v>VI 3. Da li LJP promptno (vanredno, mimo obaveznih tromesečnih izveštaja) obaveštava Osnivača o okolnostima koje predstavljaju materijalno značajan fiskalni rizik?</c:v>
                </c:pt>
                <c:pt idx="3">
                  <c:v>VI 4. Da li LJP  ima jasno definisanu i javno dostupnu politiku izveštavanja koja definiše principe, pravila i procedure izveštavanja nadležnih institucija (Osnivača i nadležnih ministarstava)?</c:v>
                </c:pt>
                <c:pt idx="4">
                  <c:v>VI 5.Da li LJP  ima jasno definisanu i javno dostupnu politiku izveštavanja koja definiše principe, pravila i procedure izveštavanja zainteresovane javnosti (građana, institucija civilnog društva, medija)?</c:v>
                </c:pt>
                <c:pt idx="5">
                  <c:v>VI 6. Da li postoje mehanizmi i procedure koje omogućavaju uključivanje zainteresovane javnosti (građana, institucija civilnog društva, naučne i stručne zajednice) u izradu godišnjeg plana poslovanja?</c:v>
                </c:pt>
                <c:pt idx="6">
                  <c:v>VI 7. Da li LJP, na svojoj internet stranici, objavljuje biografske podatke o članovima nadzornog odbora, izvršnih organa i lica koja obavljaju poslove nadzora i kontrole?</c:v>
                </c:pt>
                <c:pt idx="7">
                  <c:v>VI 8. Da li društvo objavljuje podatke o transakcijama sa Osnivačem i drugim LJP u lokalnoj samoupravi?</c:v>
                </c:pt>
              </c:strCache>
            </c:strRef>
          </c:cat>
          <c:val>
            <c:numRef>
              <c:f>Scorecard!$D$70:$D$77</c:f>
              <c:numCache>
                <c:formatCode>0.00%</c:formatCode>
                <c:ptCount val="8"/>
                <c:pt idx="0">
                  <c:v>0.05</c:v>
                </c:pt>
                <c:pt idx="1">
                  <c:v>0.05</c:v>
                </c:pt>
                <c:pt idx="2">
                  <c:v>0.05</c:v>
                </c:pt>
                <c:pt idx="3">
                  <c:v>0.1</c:v>
                </c:pt>
                <c:pt idx="4">
                  <c:v>0.05</c:v>
                </c:pt>
                <c:pt idx="5">
                  <c:v>0.1</c:v>
                </c:pt>
                <c:pt idx="6">
                  <c:v>0.05</c:v>
                </c:pt>
                <c:pt idx="7">
                  <c:v>0.05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0284-4F21-AD9D-1E93056E849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15"/>
        <c:overlap val="-20"/>
        <c:axId val="1870536480"/>
        <c:axId val="1870637968"/>
      </c:barChart>
      <c:catAx>
        <c:axId val="18705364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870637968"/>
        <c:crosses val="autoZero"/>
        <c:auto val="1"/>
        <c:lblAlgn val="ctr"/>
        <c:lblOffset val="100"/>
        <c:noMultiLvlLbl val="0"/>
      </c:catAx>
      <c:valAx>
        <c:axId val="187063796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8705364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2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3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6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7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style1.xml><?xml version="1.0" encoding="utf-8"?>
<cs:chartStyle xmlns:cs="http://schemas.microsoft.com/office/drawing/2012/chartStyle" xmlns:a="http://schemas.openxmlformats.org/drawingml/2006/main" id="34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4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34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4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34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34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AD02CC8-BBD8-4449-A7AF-1B3C1AC088B9}">
  <we:reference id="wa104379177" version="1.0.0.1" store="en-US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88462-6625-44EA-984B-78324CB1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18</Pages>
  <Words>3939</Words>
  <Characters>22455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Djulic</dc:creator>
  <cp:keywords/>
  <dc:description/>
  <cp:lastModifiedBy>vesna.kopanja@lokalnefinansije.rs</cp:lastModifiedBy>
  <cp:revision>10</cp:revision>
  <dcterms:created xsi:type="dcterms:W3CDTF">2019-07-31T06:48:00Z</dcterms:created>
  <dcterms:modified xsi:type="dcterms:W3CDTF">2019-07-31T07:40:00Z</dcterms:modified>
</cp:coreProperties>
</file>